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80"/>
      </w:pPr>
      <w:r>
        <w:rPr>
          <w:rFonts w:ascii="Calibri" w:hAnsi="Calibri"/>
          <w:b/>
          <w:color w:val="2E74B5"/>
          <w:sz w:val="20"/>
        </w:rPr>
        <w:t>NORTHWEST MISSOURI STATE UNIVERSITY</w:t>
      </w:r>
    </w:p>
    <w:p>
      <w:pPr>
        <w:keepNext/>
        <w:spacing w:after="80"/>
      </w:pPr>
      <w:r>
        <w:rPr>
          <w:rFonts w:ascii="Calibri" w:hAnsi="Calibri"/>
          <w:b/>
          <w:color w:val="1F4D78"/>
          <w:sz w:val="54"/>
        </w:rPr>
        <w:t>The American West: Power, Place, and Memory</w:t>
      </w:r>
    </w:p>
    <w:p>
      <w:pPr>
        <w:spacing w:after="360"/>
      </w:pPr>
      <w:r>
        <w:rPr>
          <w:rFonts w:ascii="Calibri" w:hAnsi="Calibri"/>
          <w:color w:val="5F6870"/>
          <w:sz w:val="26"/>
        </w:rPr>
        <w:t>33-582 · Fall 2026 · Upper-division undergraduate · In person, Tuesday/Thursday</w:t>
      </w:r>
    </w:p>
    <w:tbl>
      <w:tblPr>
        <w:tblStyle w:val="TableGrid"/>
        <w:tblW w:type="dxa" w:w="9360"/>
        <w:jc w:val="center"/>
        <w:tblLayout w:type="fixed"/>
        <w:tblLook w:firstColumn="1" w:firstRow="1" w:lastColumn="0" w:lastRow="0" w:noHBand="0" w:noVBand="1" w:val="04A0"/>
        <w:tblInd w:w="120" w:type="dxa"/>
      </w:tblPr>
      <w:tblGrid>
        <w:gridCol w:w="9360"/>
      </w:tblGrid>
      <w:tr>
        <w:tc>
          <w:tcPr>
            <w:tcW w:type="dxa" w:w="9360"/>
            <w:shd w:fill="F4F6F9"/>
            <w:tcMar>
              <w:top w:w="80" w:type="dxa"/>
              <w:start w:w="120" w:type="dxa"/>
              <w:bottom w:w="80" w:type="dxa"/>
              <w:end w:w="120" w:type="dxa"/>
            </w:tcMar>
          </w:tcPr>
          <w:p>
            <w:r>
              <w:rPr>
                <w:rFonts w:ascii="Calibri" w:hAnsi="Calibri"/>
                <w:b/>
                <w:color w:val="1F4D78"/>
                <w:sz w:val="22"/>
              </w:rPr>
              <w:t xml:space="preserve">Organizing question. </w:t>
            </w:r>
            <w:r>
              <w:rPr>
                <w:rFonts w:ascii="Calibri" w:hAnsi="Calibri"/>
                <w:color w:val="252A2E"/>
                <w:sz w:val="22"/>
              </w:rPr>
              <w:t>How was the American West made—and who has had the power to define, inhabit, govern, remember, and remake it?</w:t>
            </w:r>
          </w:p>
        </w:tc>
        <w:trPr>
          <w:tblHeader/>
        </w:trPr>
      </w:tr>
    </w:tbl>
    <w:p>
      <w:pPr>
        <w:spacing w:after="20"/>
      </w:pPr>
    </w:p>
    <w:p>
      <w:pPr>
        <w:pStyle w:val="Heading1"/>
      </w:pPr>
      <w:r>
        <w:t>Course information</w:t>
      </w:r>
    </w:p>
    <w:tbl>
      <w:tblPr>
        <w:tblStyle w:val="TableGrid"/>
        <w:tblW w:type="dxa" w:w="9360"/>
        <w:jc w:val="center"/>
        <w:tblLayout w:type="fixed"/>
        <w:tblLook w:firstColumn="1" w:firstRow="1" w:lastColumn="0" w:lastRow="0" w:noHBand="0" w:noVBand="1" w:val="04A0"/>
        <w:tblInd w:w="120" w:type="dxa"/>
      </w:tblPr>
      <w:tblGrid>
        <w:gridCol w:w="1900"/>
        <w:gridCol w:w="7460"/>
      </w:tblGrid>
      <w:tr>
        <w:trPr>
          <w:tblHeader w:val="true"/>
          <w:cantSplit w:val="true"/>
        </w:trPr>
        <w:tc>
          <w:tcPr>
            <w:tcW w:type="dxa" w:w="1900"/>
            <w:shd w:fill="E8EEF5"/>
            <w:vAlign w:val="center"/>
            <w:tcMar>
              <w:top w:w="80" w:type="dxa"/>
              <w:start w:w="120" w:type="dxa"/>
              <w:bottom w:w="80" w:type="dxa"/>
              <w:end w:w="120" w:type="dxa"/>
            </w:tcMar>
          </w:tcPr>
          <w:p>
            <w:r>
              <w:rPr>
                <w:rFonts w:ascii="Calibri" w:hAnsi="Calibri"/>
                <w:b/>
                <w:color w:val="1F4D78"/>
                <w:sz w:val="18"/>
              </w:rPr>
              <w:t>Field</w:t>
            </w:r>
          </w:p>
        </w:tc>
        <w:tc>
          <w:tcPr>
            <w:tcW w:type="dxa" w:w="7460"/>
            <w:shd w:fill="E8EEF5"/>
            <w:vAlign w:val="center"/>
            <w:tcMar>
              <w:top w:w="80" w:type="dxa"/>
              <w:start w:w="120" w:type="dxa"/>
              <w:bottom w:w="80" w:type="dxa"/>
              <w:end w:w="120" w:type="dxa"/>
            </w:tcMar>
          </w:tcPr>
          <w:p>
            <w:r>
              <w:rPr>
                <w:rFonts w:ascii="Calibri" w:hAnsi="Calibri"/>
                <w:b/>
                <w:color w:val="1F4D78"/>
                <w:sz w:val="18"/>
              </w:rPr>
              <w:t>Details</w:t>
            </w:r>
          </w:p>
        </w:tc>
      </w:tr>
      <w:tr>
        <w:trPr>
          <w:cantSplit w:val="true"/>
        </w:trPr>
        <w:tc>
          <w:tcPr>
            <w:tcW w:type="dxa" w:w="1900"/>
            <w:vAlign w:val="center"/>
            <w:tcMar>
              <w:top w:w="80" w:type="dxa"/>
              <w:start w:w="120" w:type="dxa"/>
              <w:bottom w:w="80" w:type="dxa"/>
              <w:end w:w="120" w:type="dxa"/>
            </w:tcMar>
          </w:tcPr>
          <w:p>
            <w:pPr>
              <w:spacing w:after="40" w:line="252" w:lineRule="auto"/>
            </w:pPr>
            <w:r>
              <w:rPr>
                <w:rFonts w:ascii="Calibri" w:hAnsi="Calibri"/>
                <w:color w:val="252A2E"/>
                <w:sz w:val="18"/>
              </w:rPr>
              <w:t>Instructor</w:t>
            </w:r>
          </w:p>
        </w:tc>
        <w:tc>
          <w:tcPr>
            <w:tcW w:type="dxa" w:w="7460"/>
            <w:vAlign w:val="top"/>
            <w:tcMar>
              <w:top w:w="80" w:type="dxa"/>
              <w:start w:w="120" w:type="dxa"/>
              <w:bottom w:w="80" w:type="dxa"/>
              <w:end w:w="120" w:type="dxa"/>
            </w:tcMar>
          </w:tcPr>
          <w:p>
            <w:pPr>
              <w:spacing w:after="40" w:line="252" w:lineRule="auto"/>
            </w:pPr>
            <w:r>
              <w:rPr>
                <w:rFonts w:ascii="Calibri" w:hAnsi="Calibri"/>
                <w:color w:val="252A2E"/>
                <w:sz w:val="18"/>
              </w:rPr>
              <w:t>Rob Voss</w:t>
            </w:r>
          </w:p>
        </w:tc>
      </w:tr>
      <w:tr>
        <w:trPr>
          <w:cantSplit w:val="true"/>
        </w:trPr>
        <w:tc>
          <w:tcPr>
            <w:tcW w:type="dxa" w:w="1900"/>
            <w:vAlign w:val="center"/>
            <w:tcMar>
              <w:top w:w="80" w:type="dxa"/>
              <w:start w:w="120" w:type="dxa"/>
              <w:bottom w:w="80" w:type="dxa"/>
              <w:end w:w="120" w:type="dxa"/>
            </w:tcMar>
          </w:tcPr>
          <w:p>
            <w:pPr>
              <w:spacing w:after="40" w:line="252" w:lineRule="auto"/>
            </w:pPr>
            <w:r>
              <w:rPr>
                <w:rFonts w:ascii="Calibri" w:hAnsi="Calibri"/>
                <w:color w:val="252A2E"/>
                <w:sz w:val="18"/>
              </w:rPr>
              <w:t>Communication</w:t>
            </w:r>
          </w:p>
        </w:tc>
        <w:tc>
          <w:tcPr>
            <w:tcW w:type="dxa" w:w="7460"/>
            <w:vAlign w:val="top"/>
            <w:tcMar>
              <w:top w:w="80" w:type="dxa"/>
              <w:start w:w="120" w:type="dxa"/>
              <w:bottom w:w="80" w:type="dxa"/>
              <w:end w:w="120" w:type="dxa"/>
            </w:tcMar>
          </w:tcPr>
          <w:p>
            <w:pPr>
              <w:spacing w:after="40" w:line="252" w:lineRule="auto"/>
            </w:pPr>
            <w:r>
              <w:rPr>
                <w:rFonts w:ascii="Calibri" w:hAnsi="Calibri"/>
                <w:color w:val="252A2E"/>
                <w:sz w:val="18"/>
              </w:rPr>
              <w:t>Email is best: robvoss@nwmissouri.edu</w:t>
            </w:r>
          </w:p>
        </w:tc>
      </w:tr>
      <w:tr>
        <w:trPr>
          <w:cantSplit w:val="true"/>
        </w:trPr>
        <w:tc>
          <w:tcPr>
            <w:tcW w:type="dxa" w:w="1900"/>
            <w:vAlign w:val="center"/>
            <w:tcMar>
              <w:top w:w="80" w:type="dxa"/>
              <w:start w:w="120" w:type="dxa"/>
              <w:bottom w:w="80" w:type="dxa"/>
              <w:end w:w="120" w:type="dxa"/>
            </w:tcMar>
          </w:tcPr>
          <w:p>
            <w:pPr>
              <w:spacing w:after="40" w:line="252" w:lineRule="auto"/>
            </w:pPr>
            <w:r>
              <w:rPr>
                <w:rFonts w:ascii="Calibri" w:hAnsi="Calibri"/>
                <w:color w:val="252A2E"/>
                <w:sz w:val="18"/>
              </w:rPr>
              <w:t>Office</w:t>
            </w:r>
          </w:p>
        </w:tc>
        <w:tc>
          <w:tcPr>
            <w:tcW w:type="dxa" w:w="7460"/>
            <w:vAlign w:val="top"/>
            <w:tcMar>
              <w:top w:w="80" w:type="dxa"/>
              <w:start w:w="120" w:type="dxa"/>
              <w:bottom w:w="80" w:type="dxa"/>
              <w:end w:w="120" w:type="dxa"/>
            </w:tcMar>
          </w:tcPr>
          <w:p>
            <w:pPr>
              <w:spacing w:after="40" w:line="252" w:lineRule="auto"/>
            </w:pPr>
            <w:r>
              <w:rPr>
                <w:rFonts w:ascii="Calibri" w:hAnsi="Calibri"/>
                <w:color w:val="252A2E"/>
                <w:sz w:val="18"/>
              </w:rPr>
              <w:t>Valk 120</w:t>
            </w:r>
          </w:p>
        </w:tc>
      </w:tr>
      <w:tr>
        <w:trPr>
          <w:cantSplit w:val="true"/>
        </w:trPr>
        <w:tc>
          <w:tcPr>
            <w:tcW w:type="dxa" w:w="1900"/>
            <w:vAlign w:val="center"/>
            <w:tcMar>
              <w:top w:w="80" w:type="dxa"/>
              <w:start w:w="120" w:type="dxa"/>
              <w:bottom w:w="80" w:type="dxa"/>
              <w:end w:w="120" w:type="dxa"/>
            </w:tcMar>
          </w:tcPr>
          <w:p>
            <w:pPr>
              <w:spacing w:after="40" w:line="252" w:lineRule="auto"/>
            </w:pPr>
            <w:r>
              <w:rPr>
                <w:rFonts w:ascii="Calibri" w:hAnsi="Calibri"/>
                <w:color w:val="252A2E"/>
                <w:sz w:val="18"/>
              </w:rPr>
              <w:t>Office hours</w:t>
            </w:r>
          </w:p>
        </w:tc>
        <w:tc>
          <w:tcPr>
            <w:tcW w:type="dxa" w:w="7460"/>
            <w:vAlign w:val="top"/>
            <w:tcMar>
              <w:top w:w="80" w:type="dxa"/>
              <w:start w:w="120" w:type="dxa"/>
              <w:bottom w:w="80" w:type="dxa"/>
              <w:end w:w="120" w:type="dxa"/>
            </w:tcMar>
          </w:tcPr>
          <w:p>
            <w:pPr>
              <w:spacing w:after="40" w:line="252" w:lineRule="auto"/>
            </w:pPr>
            <w:r>
              <w:rPr>
                <w:rFonts w:ascii="Calibri" w:hAnsi="Calibri"/>
                <w:color w:val="252A2E"/>
                <w:sz w:val="18"/>
              </w:rPr>
              <w:t>Monday, Wednesday, and Friday, 8:30–11:00 a.m.</w:t>
            </w:r>
          </w:p>
        </w:tc>
      </w:tr>
      <w:tr>
        <w:trPr>
          <w:cantSplit w:val="true"/>
        </w:trPr>
        <w:tc>
          <w:tcPr>
            <w:tcW w:type="dxa" w:w="1900"/>
            <w:vAlign w:val="center"/>
            <w:tcMar>
              <w:top w:w="80" w:type="dxa"/>
              <w:start w:w="120" w:type="dxa"/>
              <w:bottom w:w="80" w:type="dxa"/>
              <w:end w:w="120" w:type="dxa"/>
            </w:tcMar>
          </w:tcPr>
          <w:p>
            <w:pPr>
              <w:spacing w:after="40" w:line="252" w:lineRule="auto"/>
            </w:pPr>
            <w:r>
              <w:rPr>
                <w:rFonts w:ascii="Calibri" w:hAnsi="Calibri"/>
                <w:color w:val="252A2E"/>
                <w:sz w:val="18"/>
              </w:rPr>
              <w:t>Meetings</w:t>
            </w:r>
          </w:p>
        </w:tc>
        <w:tc>
          <w:tcPr>
            <w:tcW w:type="dxa" w:w="7460"/>
            <w:vAlign w:val="top"/>
            <w:tcMar>
              <w:top w:w="80" w:type="dxa"/>
              <w:start w:w="120" w:type="dxa"/>
              <w:bottom w:w="80" w:type="dxa"/>
              <w:end w:w="120" w:type="dxa"/>
            </w:tcMar>
          </w:tcPr>
          <w:p>
            <w:pPr>
              <w:spacing w:after="40" w:line="252" w:lineRule="auto"/>
            </w:pPr>
            <w:r>
              <w:rPr>
                <w:rFonts w:ascii="Calibri" w:hAnsi="Calibri"/>
                <w:color w:val="252A2E"/>
                <w:sz w:val="18"/>
              </w:rPr>
              <w:t>Tuesday/Thursday, in person; exact time and classroom are posted in Canvas</w:t>
            </w:r>
          </w:p>
        </w:tc>
      </w:tr>
      <w:tr>
        <w:trPr>
          <w:cantSplit w:val="true"/>
        </w:trPr>
        <w:tc>
          <w:tcPr>
            <w:tcW w:type="dxa" w:w="1900"/>
            <w:vAlign w:val="center"/>
            <w:tcMar>
              <w:top w:w="80" w:type="dxa"/>
              <w:start w:w="120" w:type="dxa"/>
              <w:bottom w:w="80" w:type="dxa"/>
              <w:end w:w="120" w:type="dxa"/>
            </w:tcMar>
          </w:tcPr>
          <w:p>
            <w:pPr>
              <w:spacing w:after="40" w:line="252" w:lineRule="auto"/>
            </w:pPr>
            <w:r>
              <w:rPr>
                <w:rFonts w:ascii="Calibri" w:hAnsi="Calibri"/>
                <w:color w:val="252A2E"/>
                <w:sz w:val="18"/>
              </w:rPr>
              <w:t>Regular meetings</w:t>
            </w:r>
          </w:p>
        </w:tc>
        <w:tc>
          <w:tcPr>
            <w:tcW w:type="dxa" w:w="7460"/>
            <w:vAlign w:val="top"/>
            <w:tcMar>
              <w:top w:w="80" w:type="dxa"/>
              <w:start w:w="120" w:type="dxa"/>
              <w:bottom w:w="80" w:type="dxa"/>
              <w:end w:w="120" w:type="dxa"/>
            </w:tcMar>
          </w:tcPr>
          <w:p>
            <w:pPr>
              <w:spacing w:after="40" w:line="252" w:lineRule="auto"/>
            </w:pPr>
            <w:r>
              <w:rPr>
                <w:rFonts w:ascii="Calibri" w:hAnsi="Calibri"/>
                <w:color w:val="252A2E"/>
                <w:sz w:val="18"/>
              </w:rPr>
              <w:t>Tuesday, August 25–Thursday, December 3, 2026; 28 class meetings</w:t>
            </w:r>
          </w:p>
        </w:tc>
      </w:tr>
      <w:tr>
        <w:trPr>
          <w:cantSplit w:val="true"/>
        </w:trPr>
        <w:tc>
          <w:tcPr>
            <w:tcW w:type="dxa" w:w="1900"/>
            <w:vAlign w:val="center"/>
            <w:tcMar>
              <w:top w:w="80" w:type="dxa"/>
              <w:start w:w="120" w:type="dxa"/>
              <w:bottom w:w="80" w:type="dxa"/>
              <w:end w:w="120" w:type="dxa"/>
            </w:tcMar>
          </w:tcPr>
          <w:p>
            <w:pPr>
              <w:spacing w:after="40" w:line="252" w:lineRule="auto"/>
            </w:pPr>
            <w:r>
              <w:rPr>
                <w:rFonts w:ascii="Calibri" w:hAnsi="Calibri"/>
                <w:color w:val="252A2E"/>
                <w:sz w:val="18"/>
              </w:rPr>
              <w:t>Finals</w:t>
            </w:r>
          </w:p>
        </w:tc>
        <w:tc>
          <w:tcPr>
            <w:tcW w:type="dxa" w:w="7460"/>
            <w:vAlign w:val="top"/>
            <w:tcMar>
              <w:top w:w="80" w:type="dxa"/>
              <w:start w:w="120" w:type="dxa"/>
              <w:bottom w:w="80" w:type="dxa"/>
              <w:end w:w="120" w:type="dxa"/>
            </w:tcMar>
          </w:tcPr>
          <w:p>
            <w:pPr>
              <w:spacing w:after="40" w:line="252" w:lineRule="auto"/>
            </w:pPr>
            <w:r>
              <w:rPr>
                <w:rFonts w:ascii="Calibri" w:hAnsi="Calibri"/>
                <w:color w:val="252A2E"/>
                <w:sz w:val="18"/>
              </w:rPr>
              <w:t>December 7–10, 2026; no separate comprehensive final is built into this plan</w:t>
            </w:r>
          </w:p>
        </w:tc>
      </w:tr>
    </w:tbl>
    <w:p>
      <w:pPr>
        <w:spacing w:after="40"/>
      </w:pPr>
    </w:p>
    <w:p>
      <w:pPr>
        <w:pStyle w:val="Heading1"/>
      </w:pPr>
      <w:r>
        <w:t>Course description</w:t>
      </w:r>
    </w:p>
    <w:p>
      <w:r>
        <w:t>A problem-centered history of the North American West from the eighteenth century through the late twentieth century. The course begins with Indigenous worlds and competing empires, then follows borderlands, migration, state and corporate power, labor, race, gender, environment, sovereignty, and public memory. Northwest Missouri and the Platte Purchase serve as a recurring local lens.</w:t>
      </w:r>
    </w:p>
    <w:p>
      <w:pPr>
        <w:pStyle w:val="Heading2"/>
      </w:pPr>
      <w:r>
        <w:t>Learning outcomes</w:t>
      </w:r>
    </w:p>
    <w:p>
      <w:pPr>
        <w:spacing w:after="80" w:line="300" w:lineRule="auto"/>
        <w:ind w:left="540" w:hanging="271"/>
        <w:numPr>
          <w:ilvl w:val="0"/>
          <w:numId w:val="10"/>
        </w:numPr>
      </w:pPr>
      <w:r>
        <w:rPr>
          <w:rFonts w:ascii="Calibri" w:hAnsi="Calibri"/>
          <w:color w:val="252A2E"/>
          <w:sz w:val="22"/>
        </w:rPr>
        <w:t>Define and contest “the West” using spatial, temporal, borderlands, environmental, and Indigenous frameworks.</w:t>
      </w:r>
    </w:p>
    <w:p>
      <w:pPr>
        <w:spacing w:after="80" w:line="300" w:lineRule="auto"/>
        <w:ind w:left="540" w:hanging="271"/>
        <w:numPr>
          <w:ilvl w:val="0"/>
          <w:numId w:val="10"/>
        </w:numPr>
      </w:pPr>
      <w:r>
        <w:rPr>
          <w:rFonts w:ascii="Calibri" w:hAnsi="Calibri"/>
          <w:color w:val="252A2E"/>
          <w:sz w:val="22"/>
        </w:rPr>
        <w:t>Explain changing relationships among Native nations, empires, the United States, Mexico, corporations, migrants, and local communities.</w:t>
      </w:r>
    </w:p>
    <w:p>
      <w:pPr>
        <w:spacing w:after="80" w:line="300" w:lineRule="auto"/>
        <w:ind w:left="540" w:hanging="271"/>
        <w:numPr>
          <w:ilvl w:val="0"/>
          <w:numId w:val="10"/>
        </w:numPr>
      </w:pPr>
      <w:r>
        <w:rPr>
          <w:rFonts w:ascii="Calibri" w:hAnsi="Calibri"/>
          <w:color w:val="252A2E"/>
          <w:sz w:val="22"/>
        </w:rPr>
        <w:t>Analyze primary sources through sourcing, contextualization, corroboration, and close reading.</w:t>
      </w:r>
    </w:p>
    <w:p>
      <w:pPr>
        <w:spacing w:after="80" w:line="300" w:lineRule="auto"/>
        <w:ind w:left="540" w:hanging="271"/>
        <w:numPr>
          <w:ilvl w:val="0"/>
          <w:numId w:val="10"/>
        </w:numPr>
      </w:pPr>
      <w:r>
        <w:rPr>
          <w:rFonts w:ascii="Calibri" w:hAnsi="Calibri"/>
          <w:color w:val="252A2E"/>
          <w:sz w:val="22"/>
        </w:rPr>
        <w:t>Construct evidence-based historical arguments that engage recent scholarship and acknowledge uncertainty.</w:t>
      </w:r>
    </w:p>
    <w:p>
      <w:pPr>
        <w:spacing w:after="80" w:line="300" w:lineRule="auto"/>
        <w:ind w:left="540" w:hanging="271"/>
        <w:numPr>
          <w:ilvl w:val="0"/>
          <w:numId w:val="10"/>
        </w:numPr>
      </w:pPr>
      <w:r>
        <w:rPr>
          <w:rFonts w:ascii="Calibri" w:hAnsi="Calibri"/>
          <w:color w:val="252A2E"/>
          <w:sz w:val="22"/>
        </w:rPr>
        <w:t>Interpret how race, gender, class, labor, environment, and sovereignty shaped western histories.</w:t>
      </w:r>
    </w:p>
    <w:p>
      <w:pPr>
        <w:spacing w:after="80" w:line="300" w:lineRule="auto"/>
        <w:ind w:left="540" w:hanging="271"/>
        <w:numPr>
          <w:ilvl w:val="0"/>
          <w:numId w:val="10"/>
        </w:numPr>
      </w:pPr>
      <w:r>
        <w:rPr>
          <w:rFonts w:ascii="Calibri" w:hAnsi="Calibri"/>
          <w:color w:val="252A2E"/>
          <w:sz w:val="22"/>
        </w:rPr>
        <w:t>Conduct ethical local or public-history research using archives, digital collections, and responsible citation.</w:t>
      </w:r>
    </w:p>
    <w:p>
      <w:pPr>
        <w:spacing w:after="80" w:line="300" w:lineRule="auto"/>
        <w:ind w:left="540" w:hanging="271"/>
        <w:numPr>
          <w:ilvl w:val="0"/>
          <w:numId w:val="10"/>
        </w:numPr>
      </w:pPr>
      <w:r>
        <w:rPr>
          <w:rFonts w:ascii="Calibri" w:hAnsi="Calibri"/>
          <w:color w:val="252A2E"/>
          <w:sz w:val="22"/>
        </w:rPr>
        <w:t>Communicate historical interpretations to academic and public audiences in written, visual, and oral forms.</w:t>
      </w:r>
    </w:p>
    <w:p>
      <w:pPr>
        <w:pStyle w:val="Heading1"/>
      </w:pPr>
      <w:r>
        <w:t>Learning materials</w:t>
      </w:r>
    </w:p>
    <w:p>
      <w:r>
        <w:t>The open educational spine is The American Yawp. Weekly modules link primary-source collections, maps, and archive portals. Ten scholarly excerpts will be supplied through lawful library reserve or licensed access; exact chapter and page spans are confirmed against the available edition.</w:t>
      </w:r>
    </w:p>
    <w:p>
      <w:pPr>
        <w:pStyle w:val="ListBullet"/>
        <w:spacing w:after="80" w:line="300" w:lineRule="auto"/>
        <w:ind w:left="540" w:hanging="271"/>
      </w:pPr>
      <w:r>
        <w:rPr>
          <w:rFonts w:ascii="Calibri" w:hAnsi="Calibri"/>
          <w:color w:val="252A2E"/>
          <w:sz w:val="22"/>
        </w:rPr>
        <w:t>Ned Blackhawk, The Rediscovery of America (2023)</w:t>
      </w:r>
    </w:p>
    <w:p>
      <w:pPr>
        <w:pStyle w:val="ListBullet"/>
        <w:spacing w:after="80" w:line="300" w:lineRule="auto"/>
        <w:ind w:left="540" w:hanging="271"/>
      </w:pPr>
      <w:r>
        <w:rPr>
          <w:rFonts w:ascii="Calibri" w:hAnsi="Calibri"/>
          <w:color w:val="252A2E"/>
          <w:sz w:val="22"/>
        </w:rPr>
        <w:t>Pekka Hämäläinen, Indigenous Continent (2022)</w:t>
      </w:r>
    </w:p>
    <w:p>
      <w:pPr>
        <w:pStyle w:val="ListBullet"/>
        <w:spacing w:after="80" w:line="300" w:lineRule="auto"/>
        <w:ind w:left="540" w:hanging="271"/>
      </w:pPr>
      <w:r>
        <w:rPr>
          <w:rFonts w:ascii="Calibri" w:hAnsi="Calibri"/>
          <w:color w:val="252A2E"/>
          <w:sz w:val="22"/>
        </w:rPr>
        <w:t>Anne F. Hyde, Born of Lakes and Plains (2022)</w:t>
      </w:r>
    </w:p>
    <w:p>
      <w:pPr>
        <w:pStyle w:val="ListBullet"/>
        <w:spacing w:after="80" w:line="300" w:lineRule="auto"/>
        <w:ind w:left="540" w:hanging="271"/>
      </w:pPr>
      <w:r>
        <w:rPr>
          <w:rFonts w:ascii="Calibri" w:hAnsi="Calibri"/>
          <w:color w:val="252A2E"/>
          <w:sz w:val="22"/>
        </w:rPr>
        <w:t>Kevin Waite, West of Slavery (2021)</w:t>
      </w:r>
    </w:p>
    <w:p>
      <w:pPr>
        <w:pStyle w:val="ListBullet"/>
        <w:spacing w:after="80" w:line="300" w:lineRule="auto"/>
        <w:ind w:left="540" w:hanging="271"/>
      </w:pPr>
      <w:r>
        <w:rPr>
          <w:rFonts w:ascii="Calibri" w:hAnsi="Calibri"/>
          <w:color w:val="252A2E"/>
          <w:sz w:val="22"/>
        </w:rPr>
        <w:t>Sarah Keyes, American Burial Ground (2023)</w:t>
      </w:r>
    </w:p>
    <w:p>
      <w:pPr>
        <w:pStyle w:val="ListBullet"/>
        <w:spacing w:after="80" w:line="300" w:lineRule="auto"/>
        <w:ind w:left="540" w:hanging="271"/>
      </w:pPr>
      <w:r>
        <w:rPr>
          <w:rFonts w:ascii="Calibri" w:hAnsi="Calibri"/>
          <w:color w:val="252A2E"/>
          <w:sz w:val="22"/>
        </w:rPr>
        <w:t>Elliott West, Continental Reckoning (2023)</w:t>
      </w:r>
    </w:p>
    <w:p>
      <w:pPr>
        <w:pStyle w:val="ListBullet"/>
        <w:spacing w:after="80" w:line="300" w:lineRule="auto"/>
        <w:ind w:left="540" w:hanging="271"/>
      </w:pPr>
      <w:r>
        <w:rPr>
          <w:rFonts w:ascii="Calibri" w:hAnsi="Calibri"/>
          <w:color w:val="252A2E"/>
          <w:sz w:val="22"/>
        </w:rPr>
        <w:t>Manu Karuka, Empire’s Tracks (2019)</w:t>
      </w:r>
    </w:p>
    <w:p>
      <w:pPr>
        <w:pStyle w:val="ListBullet"/>
        <w:spacing w:after="80" w:line="300" w:lineRule="auto"/>
        <w:ind w:left="540" w:hanging="271"/>
      </w:pPr>
      <w:r>
        <w:rPr>
          <w:rFonts w:ascii="Calibri" w:hAnsi="Calibri"/>
          <w:color w:val="252A2E"/>
          <w:sz w:val="22"/>
        </w:rPr>
        <w:t>Katrina Phillips, Staging Indigeneity (2021)</w:t>
      </w:r>
    </w:p>
    <w:p>
      <w:pPr>
        <w:pStyle w:val="ListBullet"/>
        <w:spacing w:after="80" w:line="300" w:lineRule="auto"/>
        <w:ind w:left="540" w:hanging="271"/>
      </w:pPr>
      <w:r>
        <w:rPr>
          <w:rFonts w:ascii="Calibri" w:hAnsi="Calibri"/>
          <w:color w:val="252A2E"/>
          <w:sz w:val="22"/>
        </w:rPr>
        <w:t>Monica Muñoz Martinez, The Injustice Never Leaves You (2018)</w:t>
      </w:r>
    </w:p>
    <w:p>
      <w:pPr>
        <w:pStyle w:val="ListBullet"/>
        <w:spacing w:after="80" w:line="300" w:lineRule="auto"/>
        <w:ind w:left="540" w:hanging="271"/>
      </w:pPr>
      <w:r>
        <w:rPr>
          <w:rFonts w:ascii="Calibri" w:hAnsi="Calibri"/>
          <w:color w:val="252A2E"/>
          <w:sz w:val="22"/>
        </w:rPr>
        <w:t>Sarah Deutsch, Making a Modern U.S. West (2022)</w:t>
      </w:r>
    </w:p>
    <w:p>
      <w:pPr>
        <w:pStyle w:val="Heading1"/>
      </w:pPr>
      <w:r>
        <w:t>How the course works</w:t>
      </w:r>
    </w:p>
    <w:p>
      <w:r>
        <w:t>Most meetings move through four actions: frame a historical problem, analyze primary evidence, test an interpretation, and produce or revise a claim. The graded work makes reasoning visible through in-class source markup, drafts, transfer questions, conferences, and oral defenses.</w:t>
      </w:r>
    </w:p>
    <w:p>
      <w:pPr>
        <w:pStyle w:val="Heading2"/>
      </w:pPr>
      <w:r>
        <w:t>Grading architecture</w:t>
      </w:r>
    </w:p>
    <w:tbl>
      <w:tblPr>
        <w:tblStyle w:val="TableGrid"/>
        <w:tblW w:type="dxa" w:w="9360"/>
        <w:jc w:val="center"/>
        <w:tblLayout w:type="fixed"/>
        <w:tblLook w:firstColumn="1" w:firstRow="1" w:lastColumn="0" w:lastRow="0" w:noHBand="0" w:noVBand="1" w:val="04A0"/>
        <w:tblInd w:w="120" w:type="dxa"/>
      </w:tblPr>
      <w:tblGrid>
        <w:gridCol w:w="2600"/>
        <w:gridCol w:w="900"/>
        <w:gridCol w:w="5860"/>
      </w:tblGrid>
      <w:tr>
        <w:trPr>
          <w:tblHeader w:val="true"/>
          <w:cantSplit w:val="true"/>
        </w:trPr>
        <w:tc>
          <w:tcPr>
            <w:tcW w:type="dxa" w:w="2600"/>
            <w:shd w:fill="E8EEF5"/>
            <w:vAlign w:val="center"/>
            <w:tcMar>
              <w:top w:w="80" w:type="dxa"/>
              <w:start w:w="120" w:type="dxa"/>
              <w:bottom w:w="80" w:type="dxa"/>
              <w:end w:w="120" w:type="dxa"/>
            </w:tcMar>
          </w:tcPr>
          <w:p>
            <w:r>
              <w:rPr>
                <w:rFonts w:ascii="Calibri" w:hAnsi="Calibri"/>
                <w:b/>
                <w:color w:val="1F4D78"/>
                <w:sz w:val="17"/>
              </w:rPr>
              <w:t>Category</w:t>
            </w:r>
          </w:p>
        </w:tc>
        <w:tc>
          <w:tcPr>
            <w:tcW w:type="dxa" w:w="900"/>
            <w:shd w:fill="E8EEF5"/>
            <w:vAlign w:val="center"/>
            <w:tcMar>
              <w:top w:w="80" w:type="dxa"/>
              <w:start w:w="120" w:type="dxa"/>
              <w:bottom w:w="80" w:type="dxa"/>
              <w:end w:w="120" w:type="dxa"/>
            </w:tcMar>
          </w:tcPr>
          <w:p>
            <w:r>
              <w:rPr>
                <w:rFonts w:ascii="Calibri" w:hAnsi="Calibri"/>
                <w:b/>
                <w:color w:val="1F4D78"/>
                <w:sz w:val="17"/>
              </w:rPr>
              <w:t>Weight</w:t>
            </w:r>
          </w:p>
        </w:tc>
        <w:tc>
          <w:tcPr>
            <w:tcW w:type="dxa" w:w="5860"/>
            <w:shd w:fill="E8EEF5"/>
            <w:vAlign w:val="center"/>
            <w:tcMar>
              <w:top w:w="80" w:type="dxa"/>
              <w:start w:w="120" w:type="dxa"/>
              <w:bottom w:w="80" w:type="dxa"/>
              <w:end w:w="120" w:type="dxa"/>
            </w:tcMar>
          </w:tcPr>
          <w:p>
            <w:r>
              <w:rPr>
                <w:rFonts w:ascii="Calibri" w:hAnsi="Calibri"/>
                <w:b/>
                <w:color w:val="1F4D78"/>
                <w:sz w:val="17"/>
              </w:rPr>
              <w:t>Evidence</w:t>
            </w:r>
          </w:p>
        </w:tc>
      </w:tr>
      <w:tr>
        <w:trPr>
          <w:cantSplit w:val="true"/>
        </w:trPr>
        <w:tc>
          <w:tcPr>
            <w:tcW w:type="dxa" w:w="2600"/>
            <w:vAlign w:val="center"/>
            <w:tcMar>
              <w:top w:w="80" w:type="dxa"/>
              <w:start w:w="120" w:type="dxa"/>
              <w:bottom w:w="80" w:type="dxa"/>
              <w:end w:w="120" w:type="dxa"/>
            </w:tcMar>
          </w:tcPr>
          <w:p>
            <w:pPr>
              <w:spacing w:after="40" w:line="252" w:lineRule="auto"/>
            </w:pPr>
            <w:r>
              <w:rPr>
                <w:rFonts w:ascii="Calibri" w:hAnsi="Calibri"/>
                <w:color w:val="252A2E"/>
                <w:sz w:val="17"/>
              </w:rPr>
              <w:t>Reading &amp; Reasoning Checks</w:t>
            </w:r>
          </w:p>
        </w:tc>
        <w:tc>
          <w:tcPr>
            <w:tcW w:type="dxa" w:w="900"/>
            <w:vAlign w:val="top"/>
            <w:tcMar>
              <w:top w:w="80" w:type="dxa"/>
              <w:start w:w="120" w:type="dxa"/>
              <w:bottom w:w="80" w:type="dxa"/>
              <w:end w:w="120" w:type="dxa"/>
            </w:tcMar>
          </w:tcPr>
          <w:p>
            <w:pPr>
              <w:spacing w:after="40" w:line="252" w:lineRule="auto"/>
            </w:pPr>
            <w:r>
              <w:rPr>
                <w:rFonts w:ascii="Calibri" w:hAnsi="Calibri"/>
                <w:color w:val="252A2E"/>
                <w:sz w:val="17"/>
              </w:rPr>
              <w:t>10%</w:t>
            </w:r>
          </w:p>
        </w:tc>
        <w:tc>
          <w:tcPr>
            <w:tcW w:type="dxa" w:w="5860"/>
            <w:vAlign w:val="top"/>
            <w:tcMar>
              <w:top w:w="80" w:type="dxa"/>
              <w:start w:w="120" w:type="dxa"/>
              <w:bottom w:w="80" w:type="dxa"/>
              <w:end w:w="120" w:type="dxa"/>
            </w:tcMar>
          </w:tcPr>
          <w:p>
            <w:pPr>
              <w:spacing w:after="40" w:line="252" w:lineRule="auto"/>
            </w:pPr>
            <w:r>
              <w:rPr>
                <w:rFonts w:ascii="Calibri" w:hAnsi="Calibri"/>
                <w:color w:val="252A2E"/>
                <w:sz w:val="17"/>
              </w:rPr>
              <w:t>Ten checks: three retrieval items and two short evidence-and-judgment prompts</w:t>
            </w:r>
          </w:p>
        </w:tc>
      </w:tr>
      <w:tr>
        <w:trPr>
          <w:cantSplit w:val="true"/>
        </w:trPr>
        <w:tc>
          <w:tcPr>
            <w:tcW w:type="dxa" w:w="2600"/>
            <w:vAlign w:val="center"/>
            <w:tcMar>
              <w:top w:w="80" w:type="dxa"/>
              <w:start w:w="120" w:type="dxa"/>
              <w:bottom w:w="80" w:type="dxa"/>
              <w:end w:w="120" w:type="dxa"/>
            </w:tcMar>
          </w:tcPr>
          <w:p>
            <w:pPr>
              <w:spacing w:after="40" w:line="252" w:lineRule="auto"/>
            </w:pPr>
            <w:r>
              <w:rPr>
                <w:rFonts w:ascii="Calibri" w:hAnsi="Calibri"/>
                <w:color w:val="252A2E"/>
                <w:sz w:val="17"/>
              </w:rPr>
              <w:t>Source Reasoning Labs</w:t>
            </w:r>
          </w:p>
        </w:tc>
        <w:tc>
          <w:tcPr>
            <w:tcW w:type="dxa" w:w="900"/>
            <w:vAlign w:val="top"/>
            <w:tcMar>
              <w:top w:w="80" w:type="dxa"/>
              <w:start w:w="120" w:type="dxa"/>
              <w:bottom w:w="80" w:type="dxa"/>
              <w:end w:w="120" w:type="dxa"/>
            </w:tcMar>
          </w:tcPr>
          <w:p>
            <w:pPr>
              <w:spacing w:after="40" w:line="252" w:lineRule="auto"/>
            </w:pPr>
            <w:r>
              <w:rPr>
                <w:rFonts w:ascii="Calibri" w:hAnsi="Calibri"/>
                <w:color w:val="252A2E"/>
                <w:sz w:val="17"/>
              </w:rPr>
              <w:t>20%</w:t>
            </w:r>
          </w:p>
        </w:tc>
        <w:tc>
          <w:tcPr>
            <w:tcW w:type="dxa" w:w="5860"/>
            <w:vAlign w:val="top"/>
            <w:tcMar>
              <w:top w:w="80" w:type="dxa"/>
              <w:start w:w="120" w:type="dxa"/>
              <w:bottom w:w="80" w:type="dxa"/>
              <w:end w:w="120" w:type="dxa"/>
            </w:tcMar>
          </w:tcPr>
          <w:p>
            <w:pPr>
              <w:spacing w:after="40" w:line="252" w:lineRule="auto"/>
            </w:pPr>
            <w:r>
              <w:rPr>
                <w:rFonts w:ascii="Calibri" w:hAnsi="Calibri"/>
                <w:color w:val="252A2E"/>
                <w:sz w:val="17"/>
              </w:rPr>
              <w:t>Four annotation, memo, transfer, and Decision Record cycles</w:t>
            </w:r>
          </w:p>
        </w:tc>
      </w:tr>
      <w:tr>
        <w:trPr>
          <w:cantSplit w:val="true"/>
        </w:trPr>
        <w:tc>
          <w:tcPr>
            <w:tcW w:type="dxa" w:w="2600"/>
            <w:vAlign w:val="center"/>
            <w:tcMar>
              <w:top w:w="80" w:type="dxa"/>
              <w:start w:w="120" w:type="dxa"/>
              <w:bottom w:w="80" w:type="dxa"/>
              <w:end w:w="120" w:type="dxa"/>
            </w:tcMar>
          </w:tcPr>
          <w:p>
            <w:pPr>
              <w:spacing w:after="40" w:line="252" w:lineRule="auto"/>
            </w:pPr>
            <w:r>
              <w:rPr>
                <w:rFonts w:ascii="Calibri" w:hAnsi="Calibri"/>
                <w:color w:val="252A2E"/>
                <w:sz w:val="17"/>
              </w:rPr>
              <w:t>Mapping the West</w:t>
            </w:r>
          </w:p>
        </w:tc>
        <w:tc>
          <w:tcPr>
            <w:tcW w:type="dxa" w:w="900"/>
            <w:vAlign w:val="top"/>
            <w:tcMar>
              <w:top w:w="80" w:type="dxa"/>
              <w:start w:w="120" w:type="dxa"/>
              <w:bottom w:w="80" w:type="dxa"/>
              <w:end w:w="120" w:type="dxa"/>
            </w:tcMar>
          </w:tcPr>
          <w:p>
            <w:pPr>
              <w:spacing w:after="40" w:line="252" w:lineRule="auto"/>
            </w:pPr>
            <w:r>
              <w:rPr>
                <w:rFonts w:ascii="Calibri" w:hAnsi="Calibri"/>
                <w:color w:val="252A2E"/>
                <w:sz w:val="17"/>
              </w:rPr>
              <w:t>10%</w:t>
            </w:r>
          </w:p>
        </w:tc>
        <w:tc>
          <w:tcPr>
            <w:tcW w:type="dxa" w:w="5860"/>
            <w:vAlign w:val="top"/>
            <w:tcMar>
              <w:top w:w="80" w:type="dxa"/>
              <w:start w:w="120" w:type="dxa"/>
              <w:bottom w:w="80" w:type="dxa"/>
              <w:end w:w="120" w:type="dxa"/>
            </w:tcMar>
          </w:tcPr>
          <w:p>
            <w:pPr>
              <w:spacing w:after="40" w:line="252" w:lineRule="auto"/>
            </w:pPr>
            <w:r>
              <w:rPr>
                <w:rFonts w:ascii="Calibri" w:hAnsi="Calibri"/>
                <w:color w:val="252A2E"/>
                <w:sz w:val="17"/>
              </w:rPr>
              <w:t>Boundary sketch, annotated map, rationale, and live defense</w:t>
            </w:r>
          </w:p>
        </w:tc>
      </w:tr>
      <w:tr>
        <w:trPr>
          <w:cantSplit w:val="true"/>
        </w:trPr>
        <w:tc>
          <w:tcPr>
            <w:tcW w:type="dxa" w:w="2600"/>
            <w:vAlign w:val="center"/>
            <w:tcMar>
              <w:top w:w="80" w:type="dxa"/>
              <w:start w:w="120" w:type="dxa"/>
              <w:bottom w:w="80" w:type="dxa"/>
              <w:end w:w="120" w:type="dxa"/>
            </w:tcMar>
          </w:tcPr>
          <w:p>
            <w:pPr>
              <w:spacing w:after="40" w:line="252" w:lineRule="auto"/>
            </w:pPr>
            <w:r>
              <w:rPr>
                <w:rFonts w:ascii="Calibri" w:hAnsi="Calibri"/>
                <w:color w:val="252A2E"/>
                <w:sz w:val="17"/>
              </w:rPr>
              <w:t>Historiographical Judgment Portfolio</w:t>
            </w:r>
          </w:p>
        </w:tc>
        <w:tc>
          <w:tcPr>
            <w:tcW w:type="dxa" w:w="900"/>
            <w:vAlign w:val="top"/>
            <w:tcMar>
              <w:top w:w="80" w:type="dxa"/>
              <w:start w:w="120" w:type="dxa"/>
              <w:bottom w:w="80" w:type="dxa"/>
              <w:end w:w="120" w:type="dxa"/>
            </w:tcMar>
          </w:tcPr>
          <w:p>
            <w:pPr>
              <w:spacing w:after="40" w:line="252" w:lineRule="auto"/>
            </w:pPr>
            <w:r>
              <w:rPr>
                <w:rFonts w:ascii="Calibri" w:hAnsi="Calibri"/>
                <w:color w:val="252A2E"/>
                <w:sz w:val="17"/>
              </w:rPr>
              <w:t>20%</w:t>
            </w:r>
          </w:p>
        </w:tc>
        <w:tc>
          <w:tcPr>
            <w:tcW w:type="dxa" w:w="5860"/>
            <w:vAlign w:val="top"/>
            <w:tcMar>
              <w:top w:w="80" w:type="dxa"/>
              <w:start w:w="120" w:type="dxa"/>
              <w:bottom w:w="80" w:type="dxa"/>
              <w:end w:w="120" w:type="dxa"/>
            </w:tcMar>
          </w:tcPr>
          <w:p>
            <w:pPr>
              <w:spacing w:after="40" w:line="252" w:lineRule="auto"/>
            </w:pPr>
            <w:r>
              <w:rPr>
                <w:rFonts w:ascii="Calibri" w:hAnsi="Calibri"/>
                <w:color w:val="252A2E"/>
                <w:sz w:val="17"/>
              </w:rPr>
              <w:t>Comparison, unseen synthesis, revision, and conference</w:t>
            </w:r>
          </w:p>
        </w:tc>
      </w:tr>
      <w:tr>
        <w:trPr>
          <w:cantSplit w:val="true"/>
        </w:trPr>
        <w:tc>
          <w:tcPr>
            <w:tcW w:type="dxa" w:w="2600"/>
            <w:vAlign w:val="center"/>
            <w:tcMar>
              <w:top w:w="80" w:type="dxa"/>
              <w:start w:w="120" w:type="dxa"/>
              <w:bottom w:w="80" w:type="dxa"/>
              <w:end w:w="120" w:type="dxa"/>
            </w:tcMar>
          </w:tcPr>
          <w:p>
            <w:pPr>
              <w:spacing w:after="40" w:line="252" w:lineRule="auto"/>
            </w:pPr>
            <w:r>
              <w:rPr>
                <w:rFonts w:ascii="Calibri" w:hAnsi="Calibri"/>
                <w:color w:val="252A2E"/>
                <w:sz w:val="17"/>
              </w:rPr>
              <w:t>Public History Capstone</w:t>
            </w:r>
          </w:p>
        </w:tc>
        <w:tc>
          <w:tcPr>
            <w:tcW w:type="dxa" w:w="900"/>
            <w:vAlign w:val="top"/>
            <w:tcMar>
              <w:top w:w="80" w:type="dxa"/>
              <w:start w:w="120" w:type="dxa"/>
              <w:bottom w:w="80" w:type="dxa"/>
              <w:end w:w="120" w:type="dxa"/>
            </w:tcMar>
          </w:tcPr>
          <w:p>
            <w:pPr>
              <w:spacing w:after="40" w:line="252" w:lineRule="auto"/>
            </w:pPr>
            <w:r>
              <w:rPr>
                <w:rFonts w:ascii="Calibri" w:hAnsi="Calibri"/>
                <w:color w:val="252A2E"/>
                <w:sz w:val="17"/>
              </w:rPr>
              <w:t>30%</w:t>
            </w:r>
          </w:p>
        </w:tc>
        <w:tc>
          <w:tcPr>
            <w:tcW w:type="dxa" w:w="5860"/>
            <w:vAlign w:val="top"/>
            <w:tcMar>
              <w:top w:w="80" w:type="dxa"/>
              <w:start w:w="120" w:type="dxa"/>
              <w:bottom w:w="80" w:type="dxa"/>
              <w:end w:w="120" w:type="dxa"/>
            </w:tcMar>
          </w:tcPr>
          <w:p>
            <w:pPr>
              <w:spacing w:after="40" w:line="252" w:lineRule="auto"/>
            </w:pPr>
            <w:r>
              <w:rPr>
                <w:rFonts w:ascii="Calibri" w:hAnsi="Calibri"/>
                <w:color w:val="252A2E"/>
                <w:sz w:val="17"/>
              </w:rPr>
              <w:t>Question/scope, source dossier, public artifact, showcase, and oral defense</w:t>
            </w:r>
          </w:p>
        </w:tc>
      </w:tr>
      <w:tr>
        <w:trPr>
          <w:cantSplit w:val="true"/>
        </w:trPr>
        <w:tc>
          <w:tcPr>
            <w:tcW w:type="dxa" w:w="2600"/>
            <w:vAlign w:val="center"/>
            <w:tcMar>
              <w:top w:w="80" w:type="dxa"/>
              <w:start w:w="120" w:type="dxa"/>
              <w:bottom w:w="80" w:type="dxa"/>
              <w:end w:w="120" w:type="dxa"/>
            </w:tcMar>
          </w:tcPr>
          <w:p>
            <w:pPr>
              <w:spacing w:after="40" w:line="252" w:lineRule="auto"/>
            </w:pPr>
            <w:r>
              <w:rPr>
                <w:rFonts w:ascii="Calibri" w:hAnsi="Calibri"/>
                <w:color w:val="252A2E"/>
                <w:sz w:val="17"/>
              </w:rPr>
              <w:t>Seminar Practice &amp; Reflection</w:t>
            </w:r>
          </w:p>
        </w:tc>
        <w:tc>
          <w:tcPr>
            <w:tcW w:type="dxa" w:w="900"/>
            <w:vAlign w:val="top"/>
            <w:tcMar>
              <w:top w:w="80" w:type="dxa"/>
              <w:start w:w="120" w:type="dxa"/>
              <w:bottom w:w="80" w:type="dxa"/>
              <w:end w:w="120" w:type="dxa"/>
            </w:tcMar>
          </w:tcPr>
          <w:p>
            <w:pPr>
              <w:spacing w:after="40" w:line="252" w:lineRule="auto"/>
            </w:pPr>
            <w:r>
              <w:rPr>
                <w:rFonts w:ascii="Calibri" w:hAnsi="Calibri"/>
                <w:color w:val="252A2E"/>
                <w:sz w:val="17"/>
              </w:rPr>
              <w:t>10%</w:t>
            </w:r>
          </w:p>
        </w:tc>
        <w:tc>
          <w:tcPr>
            <w:tcW w:type="dxa" w:w="5860"/>
            <w:vAlign w:val="top"/>
            <w:tcMar>
              <w:top w:w="80" w:type="dxa"/>
              <w:start w:w="120" w:type="dxa"/>
              <w:bottom w:w="80" w:type="dxa"/>
              <w:end w:w="120" w:type="dxa"/>
            </w:tcMar>
          </w:tcPr>
          <w:p>
            <w:pPr>
              <w:spacing w:after="40" w:line="252" w:lineRule="auto"/>
            </w:pPr>
            <w:r>
              <w:rPr>
                <w:rFonts w:ascii="Calibri" w:hAnsi="Calibri"/>
                <w:color w:val="252A2E"/>
                <w:sz w:val="17"/>
              </w:rPr>
              <w:t>Dated artifacts, teach-backs, evidence audit, and conference</w:t>
            </w:r>
          </w:p>
        </w:tc>
      </w:tr>
    </w:tbl>
    <w:p>
      <w:pPr>
        <w:spacing w:after="40"/>
      </w:pPr>
    </w:p>
    <w:p>
      <w:r>
        <w:t>Canvas applies the listed category weights. The course letter-grade scale and any department-required reporting conventions will be posted in Canvas before graded work is returned.</w:t>
      </w:r>
    </w:p>
    <w:p>
      <w:pPr>
        <w:pStyle w:val="Heading1"/>
      </w:pPr>
      <w:r>
        <w:t>Attendance and participation</w:t>
      </w:r>
    </w:p>
    <w:tbl>
      <w:tblPr>
        <w:tblStyle w:val="TableGrid"/>
        <w:tblW w:type="dxa" w:w="9360"/>
        <w:jc w:val="center"/>
        <w:tblLayout w:type="fixed"/>
        <w:tblLook w:firstColumn="1" w:firstRow="1" w:lastColumn="0" w:lastRow="0" w:noHBand="0" w:noVBand="1" w:val="04A0"/>
        <w:tblInd w:w="120" w:type="dxa"/>
      </w:tblPr>
      <w:tblGrid>
        <w:gridCol w:w="9360"/>
      </w:tblGrid>
      <w:tr>
        <w:tc>
          <w:tcPr>
            <w:tcW w:type="dxa" w:w="9360"/>
            <w:shd w:fill="F4F6F9"/>
            <w:tcMar>
              <w:top w:w="80" w:type="dxa"/>
              <w:start w:w="120" w:type="dxa"/>
              <w:bottom w:w="80" w:type="dxa"/>
              <w:end w:w="120" w:type="dxa"/>
            </w:tcMar>
          </w:tcPr>
          <w:p>
            <w:r>
              <w:rPr>
                <w:rFonts w:ascii="Calibri" w:hAnsi="Calibri"/>
                <w:b/>
                <w:color w:val="1F4D78"/>
                <w:sz w:val="22"/>
              </w:rPr>
              <w:t xml:space="preserve">Required attendance. </w:t>
            </w:r>
            <w:r>
              <w:rPr>
                <w:rFonts w:ascii="Calibri" w:hAnsi="Calibri"/>
                <w:color w:val="252A2E"/>
                <w:sz w:val="22"/>
              </w:rPr>
              <w:t>Attendance is required. University-approved absences do not count against the attendance threshold. Students may have up to three counted absences without an automatic grade reduction; each counted absence beyond three lowers the final course grade by one-third of a letter grade.</w:t>
            </w:r>
          </w:p>
        </w:tc>
        <w:trPr>
          <w:tblHeader/>
        </w:trPr>
      </w:tr>
    </w:tbl>
    <w:p>
      <w:pPr>
        <w:spacing w:after="20"/>
      </w:pPr>
    </w:p>
    <w:p>
      <w:r>
        <w:t>A counted absence is an absence that is not covered by a university-approved status or an authorized alternative. Approved absences cannot lower the course grade. Students remain responsible for communicating promptly and arranging a lawful, feasible way to complete essential reasoning evidence when an approved absence affects in-class work.</w:t>
      </w:r>
    </w:p>
    <w:p>
      <w:pPr>
        <w:pStyle w:val="Heading1"/>
      </w:pPr>
      <w:r>
        <w:t>Deadlines, grace period, and late work</w:t>
      </w:r>
    </w:p>
    <w:tbl>
      <w:tblPr>
        <w:tblStyle w:val="TableGrid"/>
        <w:tblW w:type="dxa" w:w="9360"/>
        <w:jc w:val="center"/>
        <w:tblLayout w:type="fixed"/>
        <w:tblLook w:firstColumn="1" w:firstRow="1" w:lastColumn="0" w:lastRow="0" w:noHBand="0" w:noVBand="1" w:val="04A0"/>
        <w:tblInd w:w="120" w:type="dxa"/>
      </w:tblPr>
      <w:tblGrid>
        <w:gridCol w:w="9360"/>
      </w:tblGrid>
      <w:tr>
        <w:tc>
          <w:tcPr>
            <w:tcW w:type="dxa" w:w="9360"/>
            <w:shd w:fill="F4F6F9"/>
            <w:tcMar>
              <w:top w:w="80" w:type="dxa"/>
              <w:start w:w="120" w:type="dxa"/>
              <w:bottom w:w="80" w:type="dxa"/>
              <w:end w:w="120" w:type="dxa"/>
            </w:tcMar>
          </w:tcPr>
          <w:p>
            <w:r>
              <w:rPr>
                <w:rFonts w:ascii="Calibri" w:hAnsi="Calibri"/>
                <w:b/>
                <w:color w:val="1F4D78"/>
                <w:sz w:val="22"/>
              </w:rPr>
              <w:t xml:space="preserve">Standard submission window. </w:t>
            </w:r>
            <w:r>
              <w:rPr>
                <w:rFonts w:ascii="Calibri" w:hAnsi="Calibri"/>
                <w:color w:val="252A2E"/>
                <w:sz w:val="22"/>
              </w:rPr>
              <w:t>Assignments are generally due Friday at 11:59 p.m. Central. A no-penalty, no-permission-needed grace period extends through Sunday at 11:59 p.m. Work is not accepted after Sunday unless the instructor approved an extension in advance or extenuating circumstances apply.</w:t>
            </w:r>
          </w:p>
        </w:tc>
        <w:trPr>
          <w:tblHeader/>
        </w:trPr>
      </w:tr>
    </w:tbl>
    <w:p>
      <w:pPr>
        <w:spacing w:after="20"/>
      </w:pPr>
    </w:p>
    <w:p>
      <w:r>
        <w:t>The Friday date is the course deadline; the Sunday window is an automatic grace period and does not require an email. Canvas may label work submitted after Friday as late, but no penalty applies during the grace period. In-class annotations, conferences, presentations, and defenses follow the announced class schedule unless a university-approved absence or authorized alternative applies.</w:t>
      </w:r>
    </w:p>
    <w:p>
      <w:pPr>
        <w:pStyle w:val="Heading1"/>
      </w:pPr>
      <w:r>
        <w:t>Generative AI and historical judgment</w:t>
      </w:r>
    </w:p>
    <w:tbl>
      <w:tblPr>
        <w:tblStyle w:val="TableGrid"/>
        <w:tblW w:type="dxa" w:w="9360"/>
        <w:jc w:val="center"/>
        <w:tblLayout w:type="fixed"/>
        <w:tblLook w:firstColumn="1" w:firstRow="1" w:lastColumn="0" w:lastRow="0" w:noHBand="0" w:noVBand="1" w:val="04A0"/>
        <w:tblInd w:w="120" w:type="dxa"/>
      </w:tblPr>
      <w:tblGrid>
        <w:gridCol w:w="9360"/>
      </w:tblGrid>
      <w:tr>
        <w:tc>
          <w:tcPr>
            <w:tcW w:type="dxa" w:w="9360"/>
            <w:shd w:fill="F4F6F9"/>
            <w:tcMar>
              <w:top w:w="80" w:type="dxa"/>
              <w:start w:w="120" w:type="dxa"/>
              <w:bottom w:w="80" w:type="dxa"/>
              <w:end w:w="120" w:type="dxa"/>
            </w:tcMar>
          </w:tcPr>
          <w:p>
            <w:r>
              <w:rPr>
                <w:rFonts w:ascii="Calibri" w:hAnsi="Calibri"/>
                <w:b/>
                <w:color w:val="1F4D78"/>
                <w:sz w:val="22"/>
              </w:rPr>
              <w:t xml:space="preserve">Course principle. </w:t>
            </w:r>
            <w:r>
              <w:rPr>
                <w:rFonts w:ascii="Calibri" w:hAnsi="Calibri"/>
                <w:color w:val="252A2E"/>
                <w:sz w:val="22"/>
              </w:rPr>
              <w:t>AI may support production, but it may not substitute for historical judgment.</w:t>
            </w:r>
          </w:p>
        </w:tc>
        <w:trPr>
          <w:tblHeader/>
        </w:trPr>
      </w:tr>
    </w:tbl>
    <w:p>
      <w:pPr>
        <w:spacing w:after="20"/>
      </w:pPr>
    </w:p>
    <w:p>
      <w:pPr>
        <w:pStyle w:val="Heading2"/>
      </w:pPr>
      <w:r>
        <w:t>Permitted with a Decision Record</w:t>
      </w:r>
    </w:p>
    <w:p>
      <w:pPr>
        <w:pStyle w:val="ListBullet"/>
        <w:spacing w:after="80" w:line="300" w:lineRule="auto"/>
        <w:ind w:left="540" w:hanging="271"/>
      </w:pPr>
      <w:r>
        <w:rPr>
          <w:rFonts w:ascii="Calibri" w:hAnsi="Calibri"/>
          <w:color w:val="252A2E"/>
          <w:sz w:val="22"/>
        </w:rPr>
        <w:t>Generate search terms only after recording your initial question.</w:t>
      </w:r>
    </w:p>
    <w:p>
      <w:pPr>
        <w:pStyle w:val="ListBullet"/>
        <w:spacing w:after="80" w:line="300" w:lineRule="auto"/>
        <w:ind w:left="540" w:hanging="271"/>
      </w:pPr>
      <w:r>
        <w:rPr>
          <w:rFonts w:ascii="Calibri" w:hAnsi="Calibri"/>
          <w:color w:val="252A2E"/>
          <w:sz w:val="22"/>
        </w:rPr>
        <w:t>Test organization, possible counterarguments, clarity, accessibility, or sentence-level expression after your own analysis is established.</w:t>
      </w:r>
    </w:p>
    <w:p>
      <w:pPr>
        <w:pStyle w:val="ListBullet"/>
        <w:spacing w:after="80" w:line="300" w:lineRule="auto"/>
        <w:ind w:left="540" w:hanging="271"/>
      </w:pPr>
      <w:r>
        <w:rPr>
          <w:rFonts w:ascii="Calibri" w:hAnsi="Calibri"/>
          <w:color w:val="252A2E"/>
          <w:sz w:val="22"/>
        </w:rPr>
        <w:t>Use approved accessibility tools without outsourcing the historical interpretation.</w:t>
      </w:r>
    </w:p>
    <w:p>
      <w:pPr>
        <w:pStyle w:val="Heading2"/>
      </w:pPr>
      <w:r>
        <w:t>Not permitted</w:t>
      </w:r>
    </w:p>
    <w:p>
      <w:pPr>
        <w:pStyle w:val="ListBullet"/>
        <w:spacing w:after="80" w:line="300" w:lineRule="auto"/>
        <w:ind w:left="540" w:hanging="271"/>
      </w:pPr>
      <w:r>
        <w:rPr>
          <w:rFonts w:ascii="Calibri" w:hAnsi="Calibri"/>
          <w:color w:val="252A2E"/>
          <w:sz w:val="22"/>
        </w:rPr>
        <w:t>Using generative AI during designated in-class reasoning, source markup, conferences, showcases, or oral defenses.</w:t>
      </w:r>
    </w:p>
    <w:p>
      <w:pPr>
        <w:pStyle w:val="ListBullet"/>
        <w:spacing w:after="80" w:line="300" w:lineRule="auto"/>
        <w:ind w:left="540" w:hanging="271"/>
      </w:pPr>
      <w:r>
        <w:rPr>
          <w:rFonts w:ascii="Calibri" w:hAnsi="Calibri"/>
          <w:color w:val="252A2E"/>
          <w:sz w:val="22"/>
        </w:rPr>
        <w:t>Submitting generated thesis language, source analysis, evidence claims, citations, translations, images, or transcripts as your own.</w:t>
      </w:r>
    </w:p>
    <w:p>
      <w:pPr>
        <w:pStyle w:val="ListBullet"/>
        <w:spacing w:after="80" w:line="300" w:lineRule="auto"/>
        <w:ind w:left="540" w:hanging="271"/>
      </w:pPr>
      <w:r>
        <w:rPr>
          <w:rFonts w:ascii="Calibri" w:hAnsi="Calibri"/>
          <w:color w:val="252A2E"/>
          <w:sz w:val="22"/>
        </w:rPr>
        <w:t>Replacing required reading or uploading private, restricted, culturally sensitive, or personally identifiable archival material.</w:t>
      </w:r>
    </w:p>
    <w:p>
      <w:pPr>
        <w:pStyle w:val="Heading2"/>
      </w:pPr>
      <w:r>
        <w:t>Common Decision Record</w:t>
      </w:r>
    </w:p>
    <w:p>
      <w:pPr>
        <w:spacing w:after="80" w:line="300" w:lineRule="auto"/>
        <w:ind w:left="540" w:hanging="271"/>
        <w:numPr>
          <w:ilvl w:val="0"/>
          <w:numId w:val="11"/>
        </w:numPr>
      </w:pPr>
      <w:r>
        <w:rPr>
          <w:rFonts w:ascii="Calibri" w:hAnsi="Calibri"/>
          <w:color w:val="252A2E"/>
          <w:sz w:val="22"/>
        </w:rPr>
        <w:t>State your initial claim or plan before substantial AI assistance.</w:t>
      </w:r>
    </w:p>
    <w:p>
      <w:pPr>
        <w:spacing w:after="80" w:line="300" w:lineRule="auto"/>
        <w:ind w:left="540" w:hanging="271"/>
        <w:numPr>
          <w:ilvl w:val="0"/>
          <w:numId w:val="11"/>
        </w:numPr>
      </w:pPr>
      <w:r>
        <w:rPr>
          <w:rFonts w:ascii="Calibri" w:hAnsi="Calibri"/>
          <w:color w:val="252A2E"/>
          <w:sz w:val="22"/>
        </w:rPr>
        <w:t>Name the most consequential interpretive choice you made and explain why.</w:t>
      </w:r>
    </w:p>
    <w:p>
      <w:pPr>
        <w:spacing w:after="80" w:line="300" w:lineRule="auto"/>
        <w:ind w:left="540" w:hanging="271"/>
        <w:numPr>
          <w:ilvl w:val="0"/>
          <w:numId w:val="11"/>
        </w:numPr>
      </w:pPr>
      <w:r>
        <w:rPr>
          <w:rFonts w:ascii="Calibri" w:hAnsi="Calibri"/>
          <w:color w:val="252A2E"/>
          <w:sz w:val="22"/>
        </w:rPr>
        <w:t>Identify one plausible alternative you rejected and the evidence behind that decision.</w:t>
      </w:r>
    </w:p>
    <w:p>
      <w:pPr>
        <w:spacing w:after="80" w:line="300" w:lineRule="auto"/>
        <w:ind w:left="540" w:hanging="271"/>
        <w:numPr>
          <w:ilvl w:val="0"/>
          <w:numId w:val="11"/>
        </w:numPr>
      </w:pPr>
      <w:r>
        <w:rPr>
          <w:rFonts w:ascii="Calibri" w:hAnsi="Calibri"/>
          <w:color w:val="252A2E"/>
          <w:sz w:val="22"/>
        </w:rPr>
        <w:t>Name evidence that changed, narrowed, or complicated your thinking.</w:t>
      </w:r>
    </w:p>
    <w:p>
      <w:pPr>
        <w:spacing w:after="80" w:line="300" w:lineRule="auto"/>
        <w:ind w:left="540" w:hanging="271"/>
        <w:numPr>
          <w:ilvl w:val="0"/>
          <w:numId w:val="11"/>
        </w:numPr>
      </w:pPr>
      <w:r>
        <w:rPr>
          <w:rFonts w:ascii="Calibri" w:hAnsi="Calibri"/>
          <w:color w:val="252A2E"/>
          <w:sz w:val="22"/>
        </w:rPr>
        <w:t>State one claim you cannot fully establish with the available evidence.</w:t>
      </w:r>
    </w:p>
    <w:p>
      <w:pPr>
        <w:spacing w:after="80" w:line="300" w:lineRule="auto"/>
        <w:ind w:left="540" w:hanging="271"/>
        <w:numPr>
          <w:ilvl w:val="0"/>
          <w:numId w:val="11"/>
        </w:numPr>
      </w:pPr>
      <w:r>
        <w:rPr>
          <w:rFonts w:ascii="Calibri" w:hAnsi="Calibri"/>
          <w:color w:val="252A2E"/>
          <w:sz w:val="22"/>
        </w:rPr>
        <w:t>Record AI use: tool, purpose, what you accepted, rejected, and verified—or write ‘No generative AI used.’</w:t>
      </w:r>
    </w:p>
    <w:p>
      <w:r>
        <w:t>You are responsible for every submitted claim. Verify quotations, citations, facts, and source descriptions in the original source; retain notes and meaningful drafts; and be ready to explain your choices.</w:t>
      </w:r>
    </w:p>
    <w:p>
      <w:pPr>
        <w:pStyle w:val="Heading1"/>
      </w:pPr>
      <w:r>
        <w:t>Major assignments and AI boundaries</w:t>
      </w:r>
    </w:p>
    <w:p>
      <w:pPr>
        <w:pStyle w:val="Heading2"/>
      </w:pPr>
      <w:r>
        <w:t>Mapping the West: Boundary Argument and Defense</w:t>
      </w:r>
    </w:p>
    <w:p>
      <w:pPr>
        <w:keepLines/>
      </w:pPr>
      <w:r>
        <w:rPr>
          <w:rFonts w:ascii="Calibri" w:hAnsi="Calibri"/>
          <w:b/>
          <w:color w:val="1F4D78"/>
          <w:sz w:val="22"/>
        </w:rPr>
        <w:t xml:space="preserve">Due: </w:t>
      </w:r>
      <w:r>
        <w:rPr>
          <w:rFonts w:ascii="Calibri" w:hAnsi="Calibri"/>
          <w:color w:val="252A2E"/>
          <w:sz w:val="22"/>
        </w:rPr>
        <w:t>Friday, September 18, 2026, 11:59 pm Central; automatic grace through Sunday, September 20, 2026, 11:59 pm Central</w:t>
      </w:r>
    </w:p>
    <w:p>
      <w:pPr>
        <w:keepLines/>
      </w:pPr>
      <w:r>
        <w:rPr>
          <w:rFonts w:ascii="Calibri" w:hAnsi="Calibri"/>
          <w:b/>
          <w:color w:val="1F4D78"/>
          <w:sz w:val="22"/>
        </w:rPr>
        <w:t xml:space="preserve">Purpose: </w:t>
      </w:r>
      <w:r>
        <w:rPr>
          <w:rFonts w:ascii="Calibri" w:hAnsi="Calibri"/>
          <w:color w:val="252A2E"/>
          <w:sz w:val="22"/>
        </w:rPr>
        <w:t>Make and defend a consequential argument about where, when, and for whom the American West exists.</w:t>
      </w:r>
    </w:p>
    <w:p>
      <w:pPr>
        <w:keepLines/>
      </w:pPr>
      <w:r>
        <w:rPr>
          <w:rFonts w:ascii="Calibri" w:hAnsi="Calibri"/>
          <w:b/>
          <w:color w:val="1F4D78"/>
          <w:sz w:val="22"/>
        </w:rPr>
        <w:t xml:space="preserve">Required evidence: </w:t>
      </w:r>
      <w:r>
        <w:rPr>
          <w:rFonts w:ascii="Calibri" w:hAnsi="Calibri"/>
          <w:color w:val="252A2E"/>
          <w:sz w:val="22"/>
        </w:rPr>
        <w:t>Begin with an in-class boundary sketch and initial claim. Submit an annotated map or map comparison plus a 750–900 word rationale using at least two maps, two primary sources, and two scholars. Conclude with a four-minute live defense and the common Decision Record.</w:t>
      </w:r>
    </w:p>
    <w:p>
      <w:pPr>
        <w:keepLines/>
      </w:pPr>
      <w:r>
        <w:rPr>
          <w:rFonts w:ascii="Calibri" w:hAnsi="Calibri"/>
          <w:b/>
          <w:color w:val="1F4D78"/>
          <w:sz w:val="22"/>
        </w:rPr>
        <w:t xml:space="preserve">AI boundary: </w:t>
      </w:r>
      <w:r>
        <w:rPr>
          <w:rFonts w:ascii="Calibri" w:hAnsi="Calibri"/>
          <w:color w:val="252A2E"/>
          <w:sz w:val="22"/>
        </w:rPr>
        <w:t>AI may test organization or clarity only after the in-class sketch. It may not create the historical argument, select the boundary, or be used during the defense.</w:t>
      </w:r>
    </w:p>
    <w:p>
      <w:pPr>
        <w:pStyle w:val="ListBullet"/>
        <w:spacing w:after="80" w:line="300" w:lineRule="auto"/>
        <w:ind w:left="540" w:hanging="271"/>
      </w:pPr>
      <w:r>
        <w:rPr>
          <w:rFonts w:ascii="Calibri" w:hAnsi="Calibri"/>
          <w:color w:val="252A2E"/>
          <w:sz w:val="22"/>
        </w:rPr>
        <w:t>In-class boundary sketch and initial claim (20)</w:t>
      </w:r>
    </w:p>
    <w:p>
      <w:pPr>
        <w:pStyle w:val="ListBullet"/>
        <w:spacing w:after="80" w:line="300" w:lineRule="auto"/>
        <w:ind w:left="540" w:hanging="271"/>
      </w:pPr>
      <w:r>
        <w:rPr>
          <w:rFonts w:ascii="Calibri" w:hAnsi="Calibri"/>
          <w:color w:val="252A2E"/>
          <w:sz w:val="22"/>
        </w:rPr>
        <w:t>Annotated map and evidence-based rationale (50)</w:t>
      </w:r>
    </w:p>
    <w:p>
      <w:pPr>
        <w:pStyle w:val="ListBullet"/>
        <w:spacing w:after="80" w:line="300" w:lineRule="auto"/>
        <w:ind w:left="540" w:hanging="271"/>
      </w:pPr>
      <w:r>
        <w:rPr>
          <w:rFonts w:ascii="Calibri" w:hAnsi="Calibri"/>
          <w:color w:val="252A2E"/>
          <w:sz w:val="22"/>
        </w:rPr>
        <w:t>Four-minute oral defense (20)</w:t>
      </w:r>
    </w:p>
    <w:p>
      <w:pPr>
        <w:pStyle w:val="ListBullet"/>
        <w:spacing w:after="80" w:line="300" w:lineRule="auto"/>
        <w:ind w:left="540" w:hanging="271"/>
      </w:pPr>
      <w:r>
        <w:rPr>
          <w:rFonts w:ascii="Calibri" w:hAnsi="Calibri"/>
          <w:color w:val="252A2E"/>
          <w:sz w:val="22"/>
        </w:rPr>
        <w:t>Complete Decision Record (10)</w:t>
      </w:r>
    </w:p>
    <w:p>
      <w:pPr>
        <w:pStyle w:val="Heading2"/>
      </w:pPr>
      <w:r>
        <w:t>Source Reasoning Lab 1: Treaty, Sovereignty, and Translation</w:t>
      </w:r>
    </w:p>
    <w:p>
      <w:pPr>
        <w:keepLines/>
      </w:pPr>
      <w:r>
        <w:rPr>
          <w:rFonts w:ascii="Calibri" w:hAnsi="Calibri"/>
          <w:b/>
          <w:color w:val="1F4D78"/>
          <w:sz w:val="22"/>
        </w:rPr>
        <w:t xml:space="preserve">Due: </w:t>
      </w:r>
      <w:r>
        <w:rPr>
          <w:rFonts w:ascii="Calibri" w:hAnsi="Calibri"/>
          <w:color w:val="252A2E"/>
          <w:sz w:val="22"/>
        </w:rPr>
        <w:t>Friday, September 25, 2026, 11:59 pm Central; automatic grace through Sunday, September 27, 2026, 11:59 pm Central</w:t>
      </w:r>
    </w:p>
    <w:p>
      <w:pPr>
        <w:keepLines/>
      </w:pPr>
      <w:r>
        <w:rPr>
          <w:rFonts w:ascii="Calibri" w:hAnsi="Calibri"/>
          <w:b/>
          <w:color w:val="1F4D78"/>
          <w:sz w:val="22"/>
        </w:rPr>
        <w:t xml:space="preserve">Purpose: </w:t>
      </w:r>
      <w:r>
        <w:rPr>
          <w:rFonts w:ascii="Calibri" w:hAnsi="Calibri"/>
          <w:color w:val="252A2E"/>
          <w:sz w:val="22"/>
        </w:rPr>
        <w:t>Practice close reading of a treaty as a negotiated, translated, and contested political instrument.</w:t>
      </w:r>
    </w:p>
    <w:p>
      <w:pPr>
        <w:keepLines/>
      </w:pPr>
      <w:r>
        <w:rPr>
          <w:rFonts w:ascii="Calibri" w:hAnsi="Calibri"/>
          <w:b/>
          <w:color w:val="1F4D78"/>
          <w:sz w:val="22"/>
        </w:rPr>
        <w:t xml:space="preserve">Required evidence: </w:t>
      </w:r>
      <w:r>
        <w:rPr>
          <w:rFonts w:ascii="Calibri" w:hAnsi="Calibri"/>
          <w:color w:val="252A2E"/>
          <w:sz w:val="22"/>
        </w:rPr>
        <w:t>Complete the source annotation in class, then write a 450–600 word memo that treats the treaty as a negotiated, translated, and contested political instrument. Finish an unseen transfer question and the common Decision Record.</w:t>
      </w:r>
    </w:p>
    <w:p>
      <w:pPr>
        <w:keepLines/>
      </w:pPr>
      <w:r>
        <w:rPr>
          <w:rFonts w:ascii="Calibri" w:hAnsi="Calibri"/>
          <w:b/>
          <w:color w:val="1F4D78"/>
          <w:sz w:val="22"/>
        </w:rPr>
        <w:t xml:space="preserve">AI boundary: </w:t>
      </w:r>
      <w:r>
        <w:rPr>
          <w:rFonts w:ascii="Calibri" w:hAnsi="Calibri"/>
          <w:color w:val="252A2E"/>
          <w:sz w:val="22"/>
        </w:rPr>
        <w:t>No AI during annotation or transfer. Afterward, clarity feedback is allowed; generated treaty analysis or translation is not.</w:t>
      </w:r>
    </w:p>
    <w:p>
      <w:pPr>
        <w:pStyle w:val="ListBullet"/>
        <w:spacing w:after="80" w:line="300" w:lineRule="auto"/>
        <w:ind w:left="540" w:hanging="271"/>
      </w:pPr>
      <w:r>
        <w:rPr>
          <w:rFonts w:ascii="Calibri" w:hAnsi="Calibri"/>
          <w:color w:val="252A2E"/>
          <w:sz w:val="22"/>
        </w:rPr>
        <w:t>In-class source annotation (8)</w:t>
      </w:r>
    </w:p>
    <w:p>
      <w:pPr>
        <w:pStyle w:val="ListBullet"/>
        <w:spacing w:after="80" w:line="300" w:lineRule="auto"/>
        <w:ind w:left="540" w:hanging="271"/>
      </w:pPr>
      <w:r>
        <w:rPr>
          <w:rFonts w:ascii="Calibri" w:hAnsi="Calibri"/>
          <w:color w:val="252A2E"/>
          <w:sz w:val="22"/>
        </w:rPr>
        <w:t>Evidence-based reasoning memo (10)</w:t>
      </w:r>
    </w:p>
    <w:p>
      <w:pPr>
        <w:pStyle w:val="ListBullet"/>
        <w:spacing w:after="80" w:line="300" w:lineRule="auto"/>
        <w:ind w:left="540" w:hanging="271"/>
      </w:pPr>
      <w:r>
        <w:rPr>
          <w:rFonts w:ascii="Calibri" w:hAnsi="Calibri"/>
          <w:color w:val="252A2E"/>
          <w:sz w:val="22"/>
        </w:rPr>
        <w:t>Unseen transfer question (5)</w:t>
      </w:r>
    </w:p>
    <w:p>
      <w:pPr>
        <w:pStyle w:val="ListBullet"/>
        <w:spacing w:after="80" w:line="300" w:lineRule="auto"/>
        <w:ind w:left="540" w:hanging="271"/>
      </w:pPr>
      <w:r>
        <w:rPr>
          <w:rFonts w:ascii="Calibri" w:hAnsi="Calibri"/>
          <w:color w:val="252A2E"/>
          <w:sz w:val="22"/>
        </w:rPr>
        <w:t>Complete Decision Record (2)</w:t>
      </w:r>
    </w:p>
    <w:p>
      <w:pPr>
        <w:pStyle w:val="Heading2"/>
      </w:pPr>
      <w:r>
        <w:t>Source Reasoning Lab 2: Mobility, Risk, and Environment</w:t>
      </w:r>
    </w:p>
    <w:p>
      <w:pPr>
        <w:keepLines/>
      </w:pPr>
      <w:r>
        <w:rPr>
          <w:rFonts w:ascii="Calibri" w:hAnsi="Calibri"/>
          <w:b/>
          <w:color w:val="1F4D78"/>
          <w:sz w:val="22"/>
        </w:rPr>
        <w:t xml:space="preserve">Due: </w:t>
      </w:r>
      <w:r>
        <w:rPr>
          <w:rFonts w:ascii="Calibri" w:hAnsi="Calibri"/>
          <w:color w:val="252A2E"/>
          <w:sz w:val="22"/>
        </w:rPr>
        <w:t>Friday, October 2, 2026, 11:59 pm Central; automatic grace through Sunday, October 4, 2026, 11:59 pm Central</w:t>
      </w:r>
    </w:p>
    <w:p>
      <w:pPr>
        <w:keepLines/>
      </w:pPr>
      <w:r>
        <w:rPr>
          <w:rFonts w:ascii="Calibri" w:hAnsi="Calibri"/>
          <w:b/>
          <w:color w:val="1F4D78"/>
          <w:sz w:val="22"/>
        </w:rPr>
        <w:t xml:space="preserve">Purpose: </w:t>
      </w:r>
      <w:r>
        <w:rPr>
          <w:rFonts w:ascii="Calibri" w:hAnsi="Calibri"/>
          <w:color w:val="252A2E"/>
          <w:sz w:val="22"/>
        </w:rPr>
        <w:t>Use diaries, material evidence, and quantitative traces to reconstruct mobility without treating migration as inevitable.</w:t>
      </w:r>
    </w:p>
    <w:p>
      <w:pPr>
        <w:keepLines/>
      </w:pPr>
      <w:r>
        <w:rPr>
          <w:rFonts w:ascii="Calibri" w:hAnsi="Calibri"/>
          <w:b/>
          <w:color w:val="1F4D78"/>
          <w:sz w:val="22"/>
        </w:rPr>
        <w:t xml:space="preserve">Required evidence: </w:t>
      </w:r>
      <w:r>
        <w:rPr>
          <w:rFonts w:ascii="Calibri" w:hAnsi="Calibri"/>
          <w:color w:val="252A2E"/>
          <w:sz w:val="22"/>
        </w:rPr>
        <w:t>Complete a comparative annotation in class, then write a 450–600 word memo using two migrant accounts and one map or quantitative source. Finish an unseen transfer question and the common Decision Record.</w:t>
      </w:r>
    </w:p>
    <w:p>
      <w:pPr>
        <w:keepLines/>
      </w:pPr>
      <w:r>
        <w:rPr>
          <w:rFonts w:ascii="Calibri" w:hAnsi="Calibri"/>
          <w:b/>
          <w:color w:val="1F4D78"/>
          <w:sz w:val="22"/>
        </w:rPr>
        <w:t xml:space="preserve">AI boundary: </w:t>
      </w:r>
      <w:r>
        <w:rPr>
          <w:rFonts w:ascii="Calibri" w:hAnsi="Calibri"/>
          <w:color w:val="252A2E"/>
          <w:sz w:val="22"/>
        </w:rPr>
        <w:t>No AI during annotation or transfer. Organization feedback is allowed only after you draft the reasoning sequence.</w:t>
      </w:r>
    </w:p>
    <w:p>
      <w:pPr>
        <w:pStyle w:val="ListBullet"/>
        <w:spacing w:after="80" w:line="300" w:lineRule="auto"/>
        <w:ind w:left="540" w:hanging="271"/>
      </w:pPr>
      <w:r>
        <w:rPr>
          <w:rFonts w:ascii="Calibri" w:hAnsi="Calibri"/>
          <w:color w:val="252A2E"/>
          <w:sz w:val="22"/>
        </w:rPr>
        <w:t>Comparative in-class annotation (8)</w:t>
      </w:r>
    </w:p>
    <w:p>
      <w:pPr>
        <w:pStyle w:val="ListBullet"/>
        <w:spacing w:after="80" w:line="300" w:lineRule="auto"/>
        <w:ind w:left="540" w:hanging="271"/>
      </w:pPr>
      <w:r>
        <w:rPr>
          <w:rFonts w:ascii="Calibri" w:hAnsi="Calibri"/>
          <w:color w:val="252A2E"/>
          <w:sz w:val="22"/>
        </w:rPr>
        <w:t>Evidence-based reasoning memo (10)</w:t>
      </w:r>
    </w:p>
    <w:p>
      <w:pPr>
        <w:pStyle w:val="ListBullet"/>
        <w:spacing w:after="80" w:line="300" w:lineRule="auto"/>
        <w:ind w:left="540" w:hanging="271"/>
      </w:pPr>
      <w:r>
        <w:rPr>
          <w:rFonts w:ascii="Calibri" w:hAnsi="Calibri"/>
          <w:color w:val="252A2E"/>
          <w:sz w:val="22"/>
        </w:rPr>
        <w:t>Unseen transfer question (5)</w:t>
      </w:r>
    </w:p>
    <w:p>
      <w:pPr>
        <w:pStyle w:val="ListBullet"/>
        <w:spacing w:after="80" w:line="300" w:lineRule="auto"/>
        <w:ind w:left="540" w:hanging="271"/>
      </w:pPr>
      <w:r>
        <w:rPr>
          <w:rFonts w:ascii="Calibri" w:hAnsi="Calibri"/>
          <w:color w:val="252A2E"/>
          <w:sz w:val="22"/>
        </w:rPr>
        <w:t>Complete Decision Record (2)</w:t>
      </w:r>
    </w:p>
    <w:p>
      <w:pPr>
        <w:pStyle w:val="Heading2"/>
      </w:pPr>
      <w:r>
        <w:t>Source Reasoning Lab 3: Newspaper, Race, and Public Narrative</w:t>
      </w:r>
    </w:p>
    <w:p>
      <w:pPr>
        <w:keepLines/>
      </w:pPr>
      <w:r>
        <w:rPr>
          <w:rFonts w:ascii="Calibri" w:hAnsi="Calibri"/>
          <w:b/>
          <w:color w:val="1F4D78"/>
          <w:sz w:val="22"/>
        </w:rPr>
        <w:t xml:space="preserve">Due: </w:t>
      </w:r>
      <w:r>
        <w:rPr>
          <w:rFonts w:ascii="Calibri" w:hAnsi="Calibri"/>
          <w:color w:val="252A2E"/>
          <w:sz w:val="22"/>
        </w:rPr>
        <w:t>Friday, October 30, 2026, 11:59 pm Central; automatic grace through Sunday, November 1, 2026, 11:59 pm Central</w:t>
      </w:r>
    </w:p>
    <w:p>
      <w:pPr>
        <w:keepLines/>
      </w:pPr>
      <w:r>
        <w:rPr>
          <w:rFonts w:ascii="Calibri" w:hAnsi="Calibri"/>
          <w:b/>
          <w:color w:val="1F4D78"/>
          <w:sz w:val="22"/>
        </w:rPr>
        <w:t xml:space="preserve">Purpose: </w:t>
      </w:r>
      <w:r>
        <w:rPr>
          <w:rFonts w:ascii="Calibri" w:hAnsi="Calibri"/>
          <w:color w:val="252A2E"/>
          <w:sz w:val="22"/>
        </w:rPr>
        <w:t>Interrogate how print culture produced racial knowledge and normalized or challenged violence.</w:t>
      </w:r>
    </w:p>
    <w:p>
      <w:pPr>
        <w:keepLines/>
      </w:pPr>
      <w:r>
        <w:rPr>
          <w:rFonts w:ascii="Calibri" w:hAnsi="Calibri"/>
          <w:b/>
          <w:color w:val="1F4D78"/>
          <w:sz w:val="22"/>
        </w:rPr>
        <w:t xml:space="preserve">Required evidence: </w:t>
      </w:r>
      <w:r>
        <w:rPr>
          <w:rFonts w:ascii="Calibri" w:hAnsi="Calibri"/>
          <w:color w:val="252A2E"/>
          <w:sz w:val="22"/>
        </w:rPr>
        <w:t>Complete a close reading of two newspaper items in class, then write a 500–650 word comparison focused on audience, language, omission, corroboration, and ethical quotation. Finish an unseen transfer question and the common Decision Record.</w:t>
      </w:r>
    </w:p>
    <w:p>
      <w:pPr>
        <w:keepLines/>
      </w:pPr>
      <w:r>
        <w:rPr>
          <w:rFonts w:ascii="Calibri" w:hAnsi="Calibri"/>
          <w:b/>
          <w:color w:val="1F4D78"/>
          <w:sz w:val="22"/>
        </w:rPr>
        <w:t xml:space="preserve">AI boundary: </w:t>
      </w:r>
      <w:r>
        <w:rPr>
          <w:rFonts w:ascii="Calibri" w:hAnsi="Calibri"/>
          <w:color w:val="252A2E"/>
          <w:sz w:val="22"/>
        </w:rPr>
        <w:t>AI may not select or interpret passages. Clarity feedback is allowed only after you draft the comparison and ethical choice.</w:t>
      </w:r>
    </w:p>
    <w:p>
      <w:pPr>
        <w:pStyle w:val="ListBullet"/>
        <w:spacing w:after="80" w:line="300" w:lineRule="auto"/>
        <w:ind w:left="540" w:hanging="271"/>
      </w:pPr>
      <w:r>
        <w:rPr>
          <w:rFonts w:ascii="Calibri" w:hAnsi="Calibri"/>
          <w:color w:val="252A2E"/>
          <w:sz w:val="22"/>
        </w:rPr>
        <w:t>In-class close reading (8)</w:t>
      </w:r>
    </w:p>
    <w:p>
      <w:pPr>
        <w:pStyle w:val="ListBullet"/>
        <w:spacing w:after="80" w:line="300" w:lineRule="auto"/>
        <w:ind w:left="540" w:hanging="271"/>
      </w:pPr>
      <w:r>
        <w:rPr>
          <w:rFonts w:ascii="Calibri" w:hAnsi="Calibri"/>
          <w:color w:val="252A2E"/>
          <w:sz w:val="22"/>
        </w:rPr>
        <w:t>Evidence-based comparison memo (10)</w:t>
      </w:r>
    </w:p>
    <w:p>
      <w:pPr>
        <w:pStyle w:val="ListBullet"/>
        <w:spacing w:after="80" w:line="300" w:lineRule="auto"/>
        <w:ind w:left="540" w:hanging="271"/>
      </w:pPr>
      <w:r>
        <w:rPr>
          <w:rFonts w:ascii="Calibri" w:hAnsi="Calibri"/>
          <w:color w:val="252A2E"/>
          <w:sz w:val="22"/>
        </w:rPr>
        <w:t>Ethics and transfer question (5)</w:t>
      </w:r>
    </w:p>
    <w:p>
      <w:pPr>
        <w:pStyle w:val="ListBullet"/>
        <w:spacing w:after="80" w:line="300" w:lineRule="auto"/>
        <w:ind w:left="540" w:hanging="271"/>
      </w:pPr>
      <w:r>
        <w:rPr>
          <w:rFonts w:ascii="Calibri" w:hAnsi="Calibri"/>
          <w:color w:val="252A2E"/>
          <w:sz w:val="22"/>
        </w:rPr>
        <w:t>Complete Decision Record (2)</w:t>
      </w:r>
    </w:p>
    <w:p>
      <w:pPr>
        <w:pStyle w:val="Heading2"/>
      </w:pPr>
      <w:r>
        <w:t>Source Reasoning Lab 4: Oral History, Memory, and Silences</w:t>
      </w:r>
    </w:p>
    <w:p>
      <w:pPr>
        <w:keepLines/>
      </w:pPr>
      <w:r>
        <w:rPr>
          <w:rFonts w:ascii="Calibri" w:hAnsi="Calibri"/>
          <w:b/>
          <w:color w:val="1F4D78"/>
          <w:sz w:val="22"/>
        </w:rPr>
        <w:t xml:space="preserve">Due: </w:t>
      </w:r>
      <w:r>
        <w:rPr>
          <w:rFonts w:ascii="Calibri" w:hAnsi="Calibri"/>
          <w:color w:val="252A2E"/>
          <w:sz w:val="22"/>
        </w:rPr>
        <w:t>Friday, November 13, 2026, 11:59 pm Central; automatic grace through Sunday, November 15, 2026, 11:59 pm Central</w:t>
      </w:r>
    </w:p>
    <w:p>
      <w:pPr>
        <w:keepLines/>
      </w:pPr>
      <w:r>
        <w:rPr>
          <w:rFonts w:ascii="Calibri" w:hAnsi="Calibri"/>
          <w:b/>
          <w:color w:val="1F4D78"/>
          <w:sz w:val="22"/>
        </w:rPr>
        <w:t xml:space="preserve">Purpose: </w:t>
      </w:r>
      <w:r>
        <w:rPr>
          <w:rFonts w:ascii="Calibri" w:hAnsi="Calibri"/>
          <w:color w:val="252A2E"/>
          <w:sz w:val="22"/>
        </w:rPr>
        <w:t>Evaluate memory as evidence while respecting narrators and collection context.</w:t>
      </w:r>
    </w:p>
    <w:p>
      <w:pPr>
        <w:keepLines/>
      </w:pPr>
      <w:r>
        <w:rPr>
          <w:rFonts w:ascii="Calibri" w:hAnsi="Calibri"/>
          <w:b/>
          <w:color w:val="1F4D78"/>
          <w:sz w:val="22"/>
        </w:rPr>
        <w:t xml:space="preserve">Required evidence: </w:t>
      </w:r>
      <w:r>
        <w:rPr>
          <w:rFonts w:ascii="Calibri" w:hAnsi="Calibri"/>
          <w:color w:val="252A2E"/>
          <w:sz w:val="22"/>
        </w:rPr>
        <w:t>Annotate an approved oral-history segment in class, then write a 500–650 word memo on narrator position, interview context, memory, corroboration, ethical use, and evidentiary limits. Finish an unseen transfer question and the common Decision Record.</w:t>
      </w:r>
    </w:p>
    <w:p>
      <w:pPr>
        <w:keepLines/>
      </w:pPr>
      <w:r>
        <w:rPr>
          <w:rFonts w:ascii="Calibri" w:hAnsi="Calibri"/>
          <w:b/>
          <w:color w:val="1F4D78"/>
          <w:sz w:val="22"/>
        </w:rPr>
        <w:t xml:space="preserve">AI boundary: </w:t>
      </w:r>
      <w:r>
        <w:rPr>
          <w:rFonts w:ascii="Calibri" w:hAnsi="Calibri"/>
          <w:color w:val="252A2E"/>
          <w:sz w:val="22"/>
        </w:rPr>
        <w:t>Do not upload oral-history media or transcripts to AI. No AI during in-class work or for analysis of testimony.</w:t>
      </w:r>
    </w:p>
    <w:p>
      <w:pPr>
        <w:pStyle w:val="ListBullet"/>
        <w:spacing w:after="80" w:line="300" w:lineRule="auto"/>
        <w:ind w:left="540" w:hanging="271"/>
      </w:pPr>
      <w:r>
        <w:rPr>
          <w:rFonts w:ascii="Calibri" w:hAnsi="Calibri"/>
          <w:color w:val="252A2E"/>
          <w:sz w:val="22"/>
        </w:rPr>
        <w:t>In-class segment annotation (8)</w:t>
      </w:r>
    </w:p>
    <w:p>
      <w:pPr>
        <w:pStyle w:val="ListBullet"/>
        <w:spacing w:after="80" w:line="300" w:lineRule="auto"/>
        <w:ind w:left="540" w:hanging="271"/>
      </w:pPr>
      <w:r>
        <w:rPr>
          <w:rFonts w:ascii="Calibri" w:hAnsi="Calibri"/>
          <w:color w:val="252A2E"/>
          <w:sz w:val="22"/>
        </w:rPr>
        <w:t>Evidence-based reasoning memo (10)</w:t>
      </w:r>
    </w:p>
    <w:p>
      <w:pPr>
        <w:pStyle w:val="ListBullet"/>
        <w:spacing w:after="80" w:line="300" w:lineRule="auto"/>
        <w:ind w:left="540" w:hanging="271"/>
      </w:pPr>
      <w:r>
        <w:rPr>
          <w:rFonts w:ascii="Calibri" w:hAnsi="Calibri"/>
          <w:color w:val="252A2E"/>
          <w:sz w:val="22"/>
        </w:rPr>
        <w:t>Ethics and transfer question (5)</w:t>
      </w:r>
    </w:p>
    <w:p>
      <w:pPr>
        <w:pStyle w:val="ListBullet"/>
        <w:spacing w:after="80" w:line="300" w:lineRule="auto"/>
        <w:ind w:left="540" w:hanging="271"/>
      </w:pPr>
      <w:r>
        <w:rPr>
          <w:rFonts w:ascii="Calibri" w:hAnsi="Calibri"/>
          <w:color w:val="252A2E"/>
          <w:sz w:val="22"/>
        </w:rPr>
        <w:t>Complete Decision Record (2)</w:t>
      </w:r>
    </w:p>
    <w:p>
      <w:pPr>
        <w:pStyle w:val="Heading2"/>
      </w:pPr>
      <w:r>
        <w:t>Historiographical Judgment Portfolio</w:t>
      </w:r>
    </w:p>
    <w:p>
      <w:pPr>
        <w:keepLines/>
      </w:pPr>
      <w:r>
        <w:rPr>
          <w:rFonts w:ascii="Calibri" w:hAnsi="Calibri"/>
          <w:b/>
          <w:color w:val="1F4D78"/>
          <w:sz w:val="22"/>
        </w:rPr>
        <w:t xml:space="preserve">Due: </w:t>
      </w:r>
      <w:r>
        <w:rPr>
          <w:rFonts w:ascii="Calibri" w:hAnsi="Calibri"/>
          <w:color w:val="252A2E"/>
          <w:sz w:val="22"/>
        </w:rPr>
        <w:t>Friday, October 16, 2026, 11:59 pm Central; automatic grace through Sunday, October 18, 2026, 11:59 pm Central</w:t>
      </w:r>
    </w:p>
    <w:p>
      <w:pPr>
        <w:keepLines/>
      </w:pPr>
      <w:r>
        <w:rPr>
          <w:rFonts w:ascii="Calibri" w:hAnsi="Calibri"/>
          <w:b/>
          <w:color w:val="1F4D78"/>
          <w:sz w:val="22"/>
        </w:rPr>
        <w:t xml:space="preserve">Purpose: </w:t>
      </w:r>
      <w:r>
        <w:rPr>
          <w:rFonts w:ascii="Calibri" w:hAnsi="Calibri"/>
          <w:color w:val="252A2E"/>
          <w:sz w:val="22"/>
        </w:rPr>
        <w:t>Judge how historians’ questions, evidence, scale, and causation shape interpretations of western expansion and state formation.</w:t>
      </w:r>
    </w:p>
    <w:p>
      <w:pPr>
        <w:keepLines/>
      </w:pPr>
      <w:r>
        <w:rPr>
          <w:rFonts w:ascii="Calibri" w:hAnsi="Calibri"/>
          <w:b/>
          <w:color w:val="1F4D78"/>
          <w:sz w:val="22"/>
        </w:rPr>
        <w:t xml:space="preserve">Required evidence: </w:t>
      </w:r>
      <w:r>
        <w:rPr>
          <w:rFonts w:ascii="Calibri" w:hAnsi="Calibri"/>
          <w:color w:val="252A2E"/>
          <w:sz w:val="22"/>
        </w:rPr>
        <w:t>Prepare position cards and a page-anchored comparison matrix for three assigned scholars. Complete a 45-minute unseen synthesis in class, then submit a revised 1,200–1,500 word synthesis with a change memo and defend the revision in conference.</w:t>
      </w:r>
    </w:p>
    <w:p>
      <w:pPr>
        <w:keepLines/>
      </w:pPr>
      <w:r>
        <w:rPr>
          <w:rFonts w:ascii="Calibri" w:hAnsi="Calibri"/>
          <w:b/>
          <w:color w:val="1F4D78"/>
          <w:sz w:val="22"/>
        </w:rPr>
        <w:t xml:space="preserve">AI boundary: </w:t>
      </w:r>
      <w:r>
        <w:rPr>
          <w:rFonts w:ascii="Calibri" w:hAnsi="Calibri"/>
          <w:color w:val="252A2E"/>
          <w:sz w:val="22"/>
        </w:rPr>
        <w:t>No AI for cards, matrix, in-class synthesis, or defense. Later clarity or organization feedback on your own revision is allowed and must be documented.</w:t>
      </w:r>
    </w:p>
    <w:p>
      <w:pPr>
        <w:pStyle w:val="ListBullet"/>
        <w:spacing w:after="80" w:line="300" w:lineRule="auto"/>
        <w:ind w:left="540" w:hanging="271"/>
      </w:pPr>
      <w:r>
        <w:rPr>
          <w:rFonts w:ascii="Calibri" w:hAnsi="Calibri"/>
          <w:color w:val="252A2E"/>
          <w:sz w:val="22"/>
        </w:rPr>
        <w:t>Position cards (15)</w:t>
      </w:r>
    </w:p>
    <w:p>
      <w:pPr>
        <w:pStyle w:val="ListBullet"/>
        <w:spacing w:after="80" w:line="300" w:lineRule="auto"/>
        <w:ind w:left="540" w:hanging="271"/>
      </w:pPr>
      <w:r>
        <w:rPr>
          <w:rFonts w:ascii="Calibri" w:hAnsi="Calibri"/>
          <w:color w:val="252A2E"/>
          <w:sz w:val="22"/>
        </w:rPr>
        <w:t>Page-anchored comparison matrix (20)</w:t>
      </w:r>
    </w:p>
    <w:p>
      <w:pPr>
        <w:pStyle w:val="ListBullet"/>
        <w:spacing w:after="80" w:line="300" w:lineRule="auto"/>
        <w:ind w:left="540" w:hanging="271"/>
      </w:pPr>
      <w:r>
        <w:rPr>
          <w:rFonts w:ascii="Calibri" w:hAnsi="Calibri"/>
          <w:color w:val="252A2E"/>
          <w:sz w:val="22"/>
        </w:rPr>
        <w:t>In-class unseen synthesis (30)</w:t>
      </w:r>
    </w:p>
    <w:p>
      <w:pPr>
        <w:pStyle w:val="ListBullet"/>
        <w:spacing w:after="80" w:line="300" w:lineRule="auto"/>
        <w:ind w:left="540" w:hanging="271"/>
      </w:pPr>
      <w:r>
        <w:rPr>
          <w:rFonts w:ascii="Calibri" w:hAnsi="Calibri"/>
          <w:color w:val="252A2E"/>
          <w:sz w:val="22"/>
        </w:rPr>
        <w:t>Revised synthesis and change memo (25)</w:t>
      </w:r>
    </w:p>
    <w:p>
      <w:pPr>
        <w:pStyle w:val="ListBullet"/>
        <w:spacing w:after="80" w:line="300" w:lineRule="auto"/>
        <w:ind w:left="540" w:hanging="271"/>
      </w:pPr>
      <w:r>
        <w:rPr>
          <w:rFonts w:ascii="Calibri" w:hAnsi="Calibri"/>
          <w:color w:val="252A2E"/>
          <w:sz w:val="22"/>
        </w:rPr>
        <w:t>Conference defense (10)</w:t>
      </w:r>
    </w:p>
    <w:p>
      <w:pPr>
        <w:pStyle w:val="Heading2"/>
      </w:pPr>
      <w:r>
        <w:t>Public History Capstone: Question and Scope Conference</w:t>
      </w:r>
    </w:p>
    <w:p>
      <w:pPr>
        <w:keepLines/>
      </w:pPr>
      <w:r>
        <w:rPr>
          <w:rFonts w:ascii="Calibri" w:hAnsi="Calibri"/>
          <w:b/>
          <w:color w:val="1F4D78"/>
          <w:sz w:val="22"/>
        </w:rPr>
        <w:t xml:space="preserve">Due: </w:t>
      </w:r>
      <w:r>
        <w:rPr>
          <w:rFonts w:ascii="Calibri" w:hAnsi="Calibri"/>
          <w:color w:val="252A2E"/>
          <w:sz w:val="22"/>
        </w:rPr>
        <w:t>Friday, October 9, 2026, 11:59 pm Central; automatic grace through Sunday, October 11, 2026, 11:59 pm Central</w:t>
      </w:r>
    </w:p>
    <w:p>
      <w:pPr>
        <w:keepLines/>
      </w:pPr>
      <w:r>
        <w:rPr>
          <w:rFonts w:ascii="Calibri" w:hAnsi="Calibri"/>
          <w:b/>
          <w:color w:val="1F4D78"/>
          <w:sz w:val="22"/>
        </w:rPr>
        <w:t xml:space="preserve">Purpose: </w:t>
      </w:r>
      <w:r>
        <w:rPr>
          <w:rFonts w:ascii="Calibri" w:hAnsi="Calibri"/>
          <w:color w:val="252A2E"/>
          <w:sz w:val="22"/>
        </w:rPr>
        <w:t>Define a feasible, ethical public-history question, audience, and scope.</w:t>
      </w:r>
    </w:p>
    <w:p>
      <w:pPr>
        <w:keepLines/>
      </w:pPr>
      <w:r>
        <w:rPr>
          <w:rFonts w:ascii="Calibri" w:hAnsi="Calibri"/>
          <w:b/>
          <w:color w:val="1F4D78"/>
          <w:sz w:val="22"/>
        </w:rPr>
        <w:t xml:space="preserve">Required evidence: </w:t>
      </w:r>
      <w:r>
        <w:rPr>
          <w:rFonts w:ascii="Calibri" w:hAnsi="Calibri"/>
          <w:color w:val="252A2E"/>
          <w:sz w:val="22"/>
        </w:rPr>
        <w:t>Submit a 350–500 word proposal with question, audience, working claim, geographic and chronological scope, source plan, one rejected alternative, and an access/ethics note. Defend the choices in a five-minute conference and complete the Decision Record.</w:t>
      </w:r>
    </w:p>
    <w:p>
      <w:pPr>
        <w:keepLines/>
      </w:pPr>
      <w:r>
        <w:rPr>
          <w:rFonts w:ascii="Calibri" w:hAnsi="Calibri"/>
          <w:b/>
          <w:color w:val="1F4D78"/>
          <w:sz w:val="22"/>
        </w:rPr>
        <w:t xml:space="preserve">AI boundary: </w:t>
      </w:r>
      <w:r>
        <w:rPr>
          <w:rFonts w:ascii="Calibri" w:hAnsi="Calibri"/>
          <w:color w:val="252A2E"/>
          <w:sz w:val="22"/>
        </w:rPr>
        <w:t>AI may generate search terms only after you record your initial question. It may not choose the question, audience, scope, sources, or ethical position.</w:t>
      </w:r>
    </w:p>
    <w:p>
      <w:pPr>
        <w:pStyle w:val="ListBullet"/>
        <w:spacing w:after="80" w:line="300" w:lineRule="auto"/>
        <w:ind w:left="540" w:hanging="271"/>
      </w:pPr>
      <w:r>
        <w:rPr>
          <w:rFonts w:ascii="Calibri" w:hAnsi="Calibri"/>
          <w:color w:val="252A2E"/>
          <w:sz w:val="22"/>
        </w:rPr>
        <w:t>Question and significance (3)</w:t>
      </w:r>
    </w:p>
    <w:p>
      <w:pPr>
        <w:pStyle w:val="ListBullet"/>
        <w:spacing w:after="80" w:line="300" w:lineRule="auto"/>
        <w:ind w:left="540" w:hanging="271"/>
      </w:pPr>
      <w:r>
        <w:rPr>
          <w:rFonts w:ascii="Calibri" w:hAnsi="Calibri"/>
          <w:color w:val="252A2E"/>
          <w:sz w:val="22"/>
        </w:rPr>
        <w:t>Feasible scope and source plan (3)</w:t>
      </w:r>
    </w:p>
    <w:p>
      <w:pPr>
        <w:pStyle w:val="ListBullet"/>
        <w:spacing w:after="80" w:line="300" w:lineRule="auto"/>
        <w:ind w:left="540" w:hanging="271"/>
      </w:pPr>
      <w:r>
        <w:rPr>
          <w:rFonts w:ascii="Calibri" w:hAnsi="Calibri"/>
          <w:color w:val="252A2E"/>
          <w:sz w:val="22"/>
        </w:rPr>
        <w:t>Audience and ethical position (2)</w:t>
      </w:r>
    </w:p>
    <w:p>
      <w:pPr>
        <w:pStyle w:val="ListBullet"/>
        <w:spacing w:after="80" w:line="300" w:lineRule="auto"/>
        <w:ind w:left="540" w:hanging="271"/>
      </w:pPr>
      <w:r>
        <w:rPr>
          <w:rFonts w:ascii="Calibri" w:hAnsi="Calibri"/>
          <w:color w:val="252A2E"/>
          <w:sz w:val="22"/>
        </w:rPr>
        <w:t>Conference defense and Decision Record (2)</w:t>
      </w:r>
    </w:p>
    <w:p>
      <w:pPr>
        <w:pStyle w:val="Heading2"/>
      </w:pPr>
      <w:r>
        <w:t>Public History Capstone: Source Dossier and Defense</w:t>
      </w:r>
    </w:p>
    <w:p>
      <w:pPr>
        <w:keepLines/>
      </w:pPr>
      <w:r>
        <w:rPr>
          <w:rFonts w:ascii="Calibri" w:hAnsi="Calibri"/>
          <w:b/>
          <w:color w:val="1F4D78"/>
          <w:sz w:val="22"/>
        </w:rPr>
        <w:t xml:space="preserve">Due: </w:t>
      </w:r>
      <w:r>
        <w:rPr>
          <w:rFonts w:ascii="Calibri" w:hAnsi="Calibri"/>
          <w:color w:val="252A2E"/>
          <w:sz w:val="22"/>
        </w:rPr>
        <w:t>Friday, November 6, 2026, 11:59 pm Central; automatic grace through Sunday, November 8, 2026, 11:59 pm Central</w:t>
      </w:r>
    </w:p>
    <w:p>
      <w:pPr>
        <w:keepLines/>
      </w:pPr>
      <w:r>
        <w:rPr>
          <w:rFonts w:ascii="Calibri" w:hAnsi="Calibri"/>
          <w:b/>
          <w:color w:val="1F4D78"/>
          <w:sz w:val="22"/>
        </w:rPr>
        <w:t xml:space="preserve">Purpose: </w:t>
      </w:r>
      <w:r>
        <w:rPr>
          <w:rFonts w:ascii="Calibri" w:hAnsi="Calibri"/>
          <w:color w:val="252A2E"/>
          <w:sz w:val="22"/>
        </w:rPr>
        <w:t>Build and defend a credible, ethical research base before production.</w:t>
      </w:r>
    </w:p>
    <w:p>
      <w:pPr>
        <w:keepLines/>
      </w:pPr>
      <w:r>
        <w:rPr>
          <w:rFonts w:ascii="Calibri" w:hAnsi="Calibri"/>
          <w:b/>
          <w:color w:val="1F4D78"/>
          <w:sz w:val="22"/>
        </w:rPr>
        <w:t xml:space="preserve">Required evidence: </w:t>
      </w:r>
      <w:r>
        <w:rPr>
          <w:rFonts w:ascii="Calibri" w:hAnsi="Calibri"/>
          <w:color w:val="252A2E"/>
          <w:sz w:val="22"/>
        </w:rPr>
        <w:t>Submit an annotated dossier of at least eight primary sources and five scholarly sources. For each, document provenance, relevance, limits, and intended use. Include rights/permissions and access checks, then complete a source defense and Decision Record.</w:t>
      </w:r>
    </w:p>
    <w:p>
      <w:pPr>
        <w:keepLines/>
      </w:pPr>
      <w:r>
        <w:rPr>
          <w:rFonts w:ascii="Calibri" w:hAnsi="Calibri"/>
          <w:b/>
          <w:color w:val="1F4D78"/>
          <w:sz w:val="22"/>
        </w:rPr>
        <w:t xml:space="preserve">AI boundary: </w:t>
      </w:r>
      <w:r>
        <w:rPr>
          <w:rFonts w:ascii="Calibri" w:hAnsi="Calibri"/>
          <w:color w:val="252A2E"/>
          <w:sz w:val="22"/>
        </w:rPr>
        <w:t>AI may suggest repository search terms. It may not write annotations, invent provenance, assess rights, or receive restricted material.</w:t>
      </w:r>
    </w:p>
    <w:p>
      <w:pPr>
        <w:pStyle w:val="ListBullet"/>
        <w:spacing w:after="80" w:line="300" w:lineRule="auto"/>
        <w:ind w:left="540" w:hanging="271"/>
      </w:pPr>
      <w:r>
        <w:rPr>
          <w:rFonts w:ascii="Calibri" w:hAnsi="Calibri"/>
          <w:color w:val="252A2E"/>
          <w:sz w:val="22"/>
        </w:rPr>
        <w:t>Primary-source base (5)</w:t>
      </w:r>
    </w:p>
    <w:p>
      <w:pPr>
        <w:pStyle w:val="ListBullet"/>
        <w:spacing w:after="80" w:line="300" w:lineRule="auto"/>
        <w:ind w:left="540" w:hanging="271"/>
      </w:pPr>
      <w:r>
        <w:rPr>
          <w:rFonts w:ascii="Calibri" w:hAnsi="Calibri"/>
          <w:color w:val="252A2E"/>
          <w:sz w:val="22"/>
        </w:rPr>
        <w:t>Scholarly conversation (5)</w:t>
      </w:r>
    </w:p>
    <w:p>
      <w:pPr>
        <w:pStyle w:val="ListBullet"/>
        <w:spacing w:after="80" w:line="300" w:lineRule="auto"/>
        <w:ind w:left="540" w:hanging="271"/>
      </w:pPr>
      <w:r>
        <w:rPr>
          <w:rFonts w:ascii="Calibri" w:hAnsi="Calibri"/>
          <w:color w:val="252A2E"/>
          <w:sz w:val="22"/>
        </w:rPr>
        <w:t>Provenance, rights, and access checks (3)</w:t>
      </w:r>
    </w:p>
    <w:p>
      <w:pPr>
        <w:pStyle w:val="ListBullet"/>
        <w:spacing w:after="80" w:line="300" w:lineRule="auto"/>
        <w:ind w:left="540" w:hanging="271"/>
      </w:pPr>
      <w:r>
        <w:rPr>
          <w:rFonts w:ascii="Calibri" w:hAnsi="Calibri"/>
          <w:color w:val="252A2E"/>
          <w:sz w:val="22"/>
        </w:rPr>
        <w:t>Source defense (5)</w:t>
      </w:r>
    </w:p>
    <w:p>
      <w:pPr>
        <w:pStyle w:val="ListBullet"/>
        <w:spacing w:after="80" w:line="300" w:lineRule="auto"/>
        <w:ind w:left="540" w:hanging="271"/>
      </w:pPr>
      <w:r>
        <w:rPr>
          <w:rFonts w:ascii="Calibri" w:hAnsi="Calibri"/>
          <w:color w:val="252A2E"/>
          <w:sz w:val="22"/>
        </w:rPr>
        <w:t>Decision Record (2)</w:t>
      </w:r>
    </w:p>
    <w:p>
      <w:pPr>
        <w:pStyle w:val="Heading2"/>
      </w:pPr>
      <w:r>
        <w:t>Public History Capstone: Interpretive Artifact and Decision Log</w:t>
      </w:r>
    </w:p>
    <w:p>
      <w:pPr>
        <w:keepLines/>
      </w:pPr>
      <w:r>
        <w:rPr>
          <w:rFonts w:ascii="Calibri" w:hAnsi="Calibri"/>
          <w:b/>
          <w:color w:val="1F4D78"/>
          <w:sz w:val="22"/>
        </w:rPr>
        <w:t xml:space="preserve">Due: </w:t>
      </w:r>
      <w:r>
        <w:rPr>
          <w:rFonts w:ascii="Calibri" w:hAnsi="Calibri"/>
          <w:color w:val="252A2E"/>
          <w:sz w:val="22"/>
        </w:rPr>
        <w:t>Friday, November 20, 2026, 11:59 pm Central; automatic grace through Sunday, November 22, 2026, 11:59 pm Central</w:t>
      </w:r>
    </w:p>
    <w:p>
      <w:pPr>
        <w:keepLines/>
      </w:pPr>
      <w:r>
        <w:rPr>
          <w:rFonts w:ascii="Calibri" w:hAnsi="Calibri"/>
          <w:b/>
          <w:color w:val="1F4D78"/>
          <w:sz w:val="22"/>
        </w:rPr>
        <w:t xml:space="preserve">Purpose: </w:t>
      </w:r>
      <w:r>
        <w:rPr>
          <w:rFonts w:ascii="Calibri" w:hAnsi="Calibri"/>
          <w:color w:val="252A2E"/>
          <w:sz w:val="22"/>
        </w:rPr>
        <w:t>Produce rigorous, accessible history for a defined public audience.</w:t>
      </w:r>
    </w:p>
    <w:p>
      <w:pPr>
        <w:keepLines/>
      </w:pPr>
      <w:r>
        <w:rPr>
          <w:rFonts w:ascii="Calibri" w:hAnsi="Calibri"/>
          <w:b/>
          <w:color w:val="1F4D78"/>
          <w:sz w:val="22"/>
        </w:rPr>
        <w:t xml:space="preserve">Required evidence: </w:t>
      </w:r>
      <w:r>
        <w:rPr>
          <w:rFonts w:ascii="Calibri" w:hAnsi="Calibri"/>
          <w:color w:val="252A2E"/>
          <w:sz w:val="22"/>
        </w:rPr>
        <w:t>Create an approved public artifact with a clear historical claim, primary-source warrants, engagement with scholarship, counterevidence or uncertainty, audience rationale, and access/rights documentation. Submit a production decision log and the common Decision Record.</w:t>
      </w:r>
    </w:p>
    <w:p>
      <w:pPr>
        <w:keepLines/>
      </w:pPr>
      <w:r>
        <w:rPr>
          <w:rFonts w:ascii="Calibri" w:hAnsi="Calibri"/>
          <w:b/>
          <w:color w:val="1F4D78"/>
          <w:sz w:val="22"/>
        </w:rPr>
        <w:t xml:space="preserve">AI boundary: </w:t>
      </w:r>
      <w:r>
        <w:rPr>
          <w:rFonts w:ascii="Calibri" w:hAnsi="Calibri"/>
          <w:color w:val="252A2E"/>
          <w:sz w:val="22"/>
        </w:rPr>
        <w:t>AI may help with organization, copyediting, troubleshooting, or accessibility only after interpretation is established. It may not generate the thesis, evidence claims, narrator voice, or ethical decisions.</w:t>
      </w:r>
    </w:p>
    <w:p>
      <w:pPr>
        <w:pStyle w:val="ListBullet"/>
        <w:spacing w:after="80" w:line="300" w:lineRule="auto"/>
        <w:ind w:left="540" w:hanging="271"/>
      </w:pPr>
      <w:r>
        <w:rPr>
          <w:rFonts w:ascii="Calibri" w:hAnsi="Calibri"/>
          <w:color w:val="252A2E"/>
          <w:sz w:val="22"/>
        </w:rPr>
        <w:t>Historical claim and accuracy (10)</w:t>
      </w:r>
    </w:p>
    <w:p>
      <w:pPr>
        <w:pStyle w:val="ListBullet"/>
        <w:spacing w:after="80" w:line="300" w:lineRule="auto"/>
        <w:ind w:left="540" w:hanging="271"/>
      </w:pPr>
      <w:r>
        <w:rPr>
          <w:rFonts w:ascii="Calibri" w:hAnsi="Calibri"/>
          <w:color w:val="252A2E"/>
          <w:sz w:val="22"/>
        </w:rPr>
        <w:t>Evidence warrants and counterevidence (8)</w:t>
      </w:r>
    </w:p>
    <w:p>
      <w:pPr>
        <w:pStyle w:val="ListBullet"/>
        <w:spacing w:after="80" w:line="300" w:lineRule="auto"/>
        <w:ind w:left="540" w:hanging="271"/>
      </w:pPr>
      <w:r>
        <w:rPr>
          <w:rFonts w:ascii="Calibri" w:hAnsi="Calibri"/>
          <w:color w:val="252A2E"/>
          <w:sz w:val="22"/>
        </w:rPr>
        <w:t>Scholarship and context (6)</w:t>
      </w:r>
    </w:p>
    <w:p>
      <w:pPr>
        <w:pStyle w:val="ListBullet"/>
        <w:spacing w:after="80" w:line="300" w:lineRule="auto"/>
        <w:ind w:left="540" w:hanging="271"/>
      </w:pPr>
      <w:r>
        <w:rPr>
          <w:rFonts w:ascii="Calibri" w:hAnsi="Calibri"/>
          <w:color w:val="252A2E"/>
          <w:sz w:val="22"/>
        </w:rPr>
        <w:t>Audience, access, and rights (5)</w:t>
      </w:r>
    </w:p>
    <w:p>
      <w:pPr>
        <w:pStyle w:val="ListBullet"/>
        <w:spacing w:after="80" w:line="300" w:lineRule="auto"/>
        <w:ind w:left="540" w:hanging="271"/>
      </w:pPr>
      <w:r>
        <w:rPr>
          <w:rFonts w:ascii="Calibri" w:hAnsi="Calibri"/>
          <w:color w:val="252A2E"/>
          <w:sz w:val="22"/>
        </w:rPr>
        <w:t>Decision log and Decision Record (6)</w:t>
      </w:r>
    </w:p>
    <w:p>
      <w:pPr>
        <w:pStyle w:val="Heading2"/>
      </w:pPr>
      <w:r>
        <w:t>Public History Capstone: Showcase and Oral Defense</w:t>
      </w:r>
    </w:p>
    <w:p>
      <w:pPr>
        <w:keepLines/>
      </w:pPr>
      <w:r>
        <w:rPr>
          <w:rFonts w:ascii="Calibri" w:hAnsi="Calibri"/>
          <w:b/>
          <w:color w:val="1F4D78"/>
          <w:sz w:val="22"/>
        </w:rPr>
        <w:t xml:space="preserve">Due: </w:t>
      </w:r>
      <w:r>
        <w:rPr>
          <w:rFonts w:ascii="Calibri" w:hAnsi="Calibri"/>
          <w:color w:val="252A2E"/>
          <w:sz w:val="22"/>
        </w:rPr>
        <w:t>Friday, December 4, 2026, 11:59 pm Central; automatic grace through Sunday, December 6, 2026, 11:59 pm Central</w:t>
      </w:r>
    </w:p>
    <w:p>
      <w:pPr>
        <w:keepLines/>
      </w:pPr>
      <w:r>
        <w:rPr>
          <w:rFonts w:ascii="Calibri" w:hAnsi="Calibri"/>
          <w:b/>
          <w:color w:val="1F4D78"/>
          <w:sz w:val="22"/>
        </w:rPr>
        <w:t xml:space="preserve">Purpose: </w:t>
      </w:r>
      <w:r>
        <w:rPr>
          <w:rFonts w:ascii="Calibri" w:hAnsi="Calibri"/>
          <w:color w:val="252A2E"/>
          <w:sz w:val="22"/>
        </w:rPr>
        <w:t>Defend evidentiary, interpretive, audience, and ethical choices under questioning.</w:t>
      </w:r>
    </w:p>
    <w:p>
      <w:pPr>
        <w:keepLines/>
      </w:pPr>
      <w:r>
        <w:rPr>
          <w:rFonts w:ascii="Calibri" w:hAnsi="Calibri"/>
          <w:b/>
          <w:color w:val="1F4D78"/>
          <w:sz w:val="22"/>
        </w:rPr>
        <w:t xml:space="preserve">Required evidence: </w:t>
      </w:r>
      <w:r>
        <w:rPr>
          <w:rFonts w:ascii="Calibri" w:hAnsi="Calibri"/>
          <w:color w:val="252A2E"/>
          <w:sz w:val="22"/>
        </w:rPr>
        <w:t>Present the artifact, explain the central claim and strongest evidence, respond to unanticipated questions, identify a revision decision, and provide accessible final materials. Defenses occur during the December 1 and 3 class meetings.</w:t>
      </w:r>
    </w:p>
    <w:p>
      <w:pPr>
        <w:keepLines/>
      </w:pPr>
      <w:r>
        <w:rPr>
          <w:rFonts w:ascii="Calibri" w:hAnsi="Calibri"/>
          <w:b/>
          <w:color w:val="1F4D78"/>
          <w:sz w:val="22"/>
        </w:rPr>
        <w:t xml:space="preserve">AI boundary: </w:t>
      </w:r>
      <w:r>
        <w:rPr>
          <w:rFonts w:ascii="Calibri" w:hAnsi="Calibri"/>
          <w:color w:val="252A2E"/>
          <w:sz w:val="22"/>
        </w:rPr>
        <w:t>No generative AI during the showcase or oral defense. Prepared slides remain subject to the course AI policy and Decision Record.</w:t>
      </w:r>
    </w:p>
    <w:p>
      <w:pPr>
        <w:pStyle w:val="ListBullet"/>
        <w:spacing w:after="80" w:line="300" w:lineRule="auto"/>
        <w:ind w:left="540" w:hanging="271"/>
      </w:pPr>
      <w:r>
        <w:rPr>
          <w:rFonts w:ascii="Calibri" w:hAnsi="Calibri"/>
          <w:color w:val="252A2E"/>
          <w:sz w:val="22"/>
        </w:rPr>
        <w:t>Public claim and framing (5)</w:t>
      </w:r>
    </w:p>
    <w:p>
      <w:pPr>
        <w:pStyle w:val="ListBullet"/>
        <w:spacing w:after="80" w:line="300" w:lineRule="auto"/>
        <w:ind w:left="540" w:hanging="271"/>
      </w:pPr>
      <w:r>
        <w:rPr>
          <w:rFonts w:ascii="Calibri" w:hAnsi="Calibri"/>
          <w:color w:val="252A2E"/>
          <w:sz w:val="22"/>
        </w:rPr>
        <w:t>Evidence explanation (8)</w:t>
      </w:r>
    </w:p>
    <w:p>
      <w:pPr>
        <w:pStyle w:val="ListBullet"/>
        <w:spacing w:after="80" w:line="300" w:lineRule="auto"/>
        <w:ind w:left="540" w:hanging="271"/>
      </w:pPr>
      <w:r>
        <w:rPr>
          <w:rFonts w:ascii="Calibri" w:hAnsi="Calibri"/>
          <w:color w:val="252A2E"/>
          <w:sz w:val="22"/>
        </w:rPr>
        <w:t>Interpretive and ethical judgment (8)</w:t>
      </w:r>
    </w:p>
    <w:p>
      <w:pPr>
        <w:pStyle w:val="ListBullet"/>
        <w:spacing w:after="80" w:line="300" w:lineRule="auto"/>
        <w:ind w:left="540" w:hanging="271"/>
      </w:pPr>
      <w:r>
        <w:rPr>
          <w:rFonts w:ascii="Calibri" w:hAnsi="Calibri"/>
          <w:color w:val="252A2E"/>
          <w:sz w:val="22"/>
        </w:rPr>
        <w:t>Response to questions (10)</w:t>
      </w:r>
    </w:p>
    <w:p>
      <w:pPr>
        <w:pStyle w:val="ListBullet"/>
        <w:spacing w:after="80" w:line="300" w:lineRule="auto"/>
        <w:ind w:left="540" w:hanging="271"/>
      </w:pPr>
      <w:r>
        <w:rPr>
          <w:rFonts w:ascii="Calibri" w:hAnsi="Calibri"/>
          <w:color w:val="252A2E"/>
          <w:sz w:val="22"/>
        </w:rPr>
        <w:t>Accessible delivery and materials (4)</w:t>
      </w:r>
    </w:p>
    <w:p>
      <w:pPr>
        <w:pStyle w:val="Heading2"/>
      </w:pPr>
      <w:r>
        <w:t>Seminar Practice and Reflection Portfolio</w:t>
      </w:r>
    </w:p>
    <w:p>
      <w:pPr>
        <w:keepLines/>
      </w:pPr>
      <w:r>
        <w:rPr>
          <w:rFonts w:ascii="Calibri" w:hAnsi="Calibri"/>
          <w:b/>
          <w:color w:val="1F4D78"/>
          <w:sz w:val="22"/>
        </w:rPr>
        <w:t xml:space="preserve">Due: </w:t>
      </w:r>
      <w:r>
        <w:rPr>
          <w:rFonts w:ascii="Calibri" w:hAnsi="Calibri"/>
          <w:color w:val="252A2E"/>
          <w:sz w:val="22"/>
        </w:rPr>
        <w:t>Friday, December 4, 2026, 11:59 pm Central; automatic grace through Sunday, December 6, 2026, 11:59 pm Central</w:t>
      </w:r>
    </w:p>
    <w:p>
      <w:pPr>
        <w:keepLines/>
      </w:pPr>
      <w:r>
        <w:rPr>
          <w:rFonts w:ascii="Calibri" w:hAnsi="Calibri"/>
          <w:b/>
          <w:color w:val="1F4D78"/>
          <w:sz w:val="22"/>
        </w:rPr>
        <w:t xml:space="preserve">Purpose: </w:t>
      </w:r>
      <w:r>
        <w:rPr>
          <w:rFonts w:ascii="Calibri" w:hAnsi="Calibri"/>
          <w:color w:val="252A2E"/>
          <w:sz w:val="22"/>
        </w:rPr>
        <w:t>Make preparation, contribution, revision, and intellectual growth visible.</w:t>
      </w:r>
    </w:p>
    <w:p>
      <w:pPr>
        <w:keepLines/>
      </w:pPr>
      <w:r>
        <w:rPr>
          <w:rFonts w:ascii="Calibri" w:hAnsi="Calibri"/>
          <w:b/>
          <w:color w:val="1F4D78"/>
          <w:sz w:val="22"/>
        </w:rPr>
        <w:t xml:space="preserve">Required evidence: </w:t>
      </w:r>
      <w:r>
        <w:rPr>
          <w:rFonts w:ascii="Calibri" w:hAnsi="Calibri"/>
          <w:color w:val="252A2E"/>
          <w:sz w:val="22"/>
        </w:rPr>
        <w:t>Submit a curated set of dated in-class artifacts, evidence of teach-backs, and a final evidence audit explaining how your historical questions and source practices changed. Defend the selection in a short conference.</w:t>
      </w:r>
    </w:p>
    <w:p>
      <w:pPr>
        <w:keepLines/>
      </w:pPr>
      <w:r>
        <w:rPr>
          <w:rFonts w:ascii="Calibri" w:hAnsi="Calibri"/>
          <w:b/>
          <w:color w:val="1F4D78"/>
          <w:sz w:val="22"/>
        </w:rPr>
        <w:t xml:space="preserve">AI boundary: </w:t>
      </w:r>
      <w:r>
        <w:rPr>
          <w:rFonts w:ascii="Calibri" w:hAnsi="Calibri"/>
          <w:color w:val="252A2E"/>
          <w:sz w:val="22"/>
        </w:rPr>
        <w:t>No AI for in-class artifacts or the conference. Sentence-level feedback may follow your own artifact selection and draft.</w:t>
      </w:r>
    </w:p>
    <w:p>
      <w:pPr>
        <w:pStyle w:val="ListBullet"/>
        <w:spacing w:after="80" w:line="300" w:lineRule="auto"/>
        <w:ind w:left="540" w:hanging="271"/>
      </w:pPr>
      <w:r>
        <w:rPr>
          <w:rFonts w:ascii="Calibri" w:hAnsi="Calibri"/>
          <w:color w:val="252A2E"/>
          <w:sz w:val="22"/>
        </w:rPr>
        <w:t>Dated in-class artifacts and preparation (40)</w:t>
      </w:r>
    </w:p>
    <w:p>
      <w:pPr>
        <w:pStyle w:val="ListBullet"/>
        <w:spacing w:after="80" w:line="300" w:lineRule="auto"/>
        <w:ind w:left="540" w:hanging="271"/>
      </w:pPr>
      <w:r>
        <w:rPr>
          <w:rFonts w:ascii="Calibri" w:hAnsi="Calibri"/>
          <w:color w:val="252A2E"/>
          <w:sz w:val="22"/>
        </w:rPr>
        <w:t>Teach-backs and collaborative reasoning (30)</w:t>
      </w:r>
    </w:p>
    <w:p>
      <w:pPr>
        <w:pStyle w:val="ListBullet"/>
        <w:spacing w:after="80" w:line="300" w:lineRule="auto"/>
        <w:ind w:left="540" w:hanging="271"/>
      </w:pPr>
      <w:r>
        <w:rPr>
          <w:rFonts w:ascii="Calibri" w:hAnsi="Calibri"/>
          <w:color w:val="252A2E"/>
          <w:sz w:val="22"/>
        </w:rPr>
        <w:t>Evidence audit and final conference (30)</w:t>
      </w:r>
    </w:p>
    <w:p>
      <w:pPr>
        <w:pStyle w:val="Heading1"/>
      </w:pPr>
      <w:r>
        <w:t>Fall 2026 course calendar</w:t>
      </w:r>
    </w:p>
    <w:p>
      <w:r>
        <w:t>Campus classes begin Monday, August 24; because 33-582 meets T/Th, the first class is Tuesday, August 25. Labor Day and Walkout Day fall on Monday and Friday and do not cancel this class. The online professional break October 12–16 does not apply to campus full-term classes.</w:t>
      </w:r>
    </w:p>
    <w:tbl>
      <w:tblPr>
        <w:tblStyle w:val="TableGrid"/>
        <w:tblW w:type="dxa" w:w="9360"/>
        <w:jc w:val="center"/>
        <w:tblLayout w:type="fixed"/>
        <w:tblLook w:firstColumn="1" w:firstRow="1" w:lastColumn="0" w:lastRow="0" w:noHBand="0" w:noVBand="1" w:val="04A0"/>
        <w:tblInd w:w="120" w:type="dxa"/>
      </w:tblPr>
      <w:tblGrid>
        <w:gridCol w:w="520"/>
        <w:gridCol w:w="1320"/>
        <w:gridCol w:w="1880"/>
        <w:gridCol w:w="3440"/>
        <w:gridCol w:w="2200"/>
      </w:tblGrid>
      <w:tr>
        <w:trPr>
          <w:tblHeader w:val="true"/>
          <w:cantSplit w:val="true"/>
        </w:trPr>
        <w:tc>
          <w:tcPr>
            <w:tcW w:type="dxa" w:w="520"/>
            <w:shd w:fill="E8EEF5"/>
            <w:vAlign w:val="center"/>
            <w:tcMar>
              <w:top w:w="80" w:type="dxa"/>
              <w:start w:w="120" w:type="dxa"/>
              <w:bottom w:w="80" w:type="dxa"/>
              <w:end w:w="120" w:type="dxa"/>
            </w:tcMar>
          </w:tcPr>
          <w:p>
            <w:r>
              <w:rPr>
                <w:rFonts w:ascii="Calibri" w:hAnsi="Calibri"/>
                <w:b/>
                <w:color w:val="1F4D78"/>
                <w:sz w:val="15"/>
              </w:rPr>
              <w:t>Wk</w:t>
            </w:r>
          </w:p>
        </w:tc>
        <w:tc>
          <w:tcPr>
            <w:tcW w:type="dxa" w:w="1320"/>
            <w:shd w:fill="E8EEF5"/>
            <w:vAlign w:val="center"/>
            <w:tcMar>
              <w:top w:w="80" w:type="dxa"/>
              <w:start w:w="120" w:type="dxa"/>
              <w:bottom w:w="80" w:type="dxa"/>
              <w:end w:w="120" w:type="dxa"/>
            </w:tcMar>
          </w:tcPr>
          <w:p>
            <w:r>
              <w:rPr>
                <w:rFonts w:ascii="Calibri" w:hAnsi="Calibri"/>
                <w:b/>
                <w:color w:val="1F4D78"/>
                <w:sz w:val="15"/>
              </w:rPr>
              <w:t>Dates</w:t>
            </w:r>
          </w:p>
        </w:tc>
        <w:tc>
          <w:tcPr>
            <w:tcW w:type="dxa" w:w="1880"/>
            <w:shd w:fill="E8EEF5"/>
            <w:vAlign w:val="center"/>
            <w:tcMar>
              <w:top w:w="80" w:type="dxa"/>
              <w:start w:w="120" w:type="dxa"/>
              <w:bottom w:w="80" w:type="dxa"/>
              <w:end w:w="120" w:type="dxa"/>
            </w:tcMar>
          </w:tcPr>
          <w:p>
            <w:r>
              <w:rPr>
                <w:rFonts w:ascii="Calibri" w:hAnsi="Calibri"/>
                <w:b/>
                <w:color w:val="1F4D78"/>
                <w:sz w:val="15"/>
              </w:rPr>
              <w:t>Inquiry unit</w:t>
            </w:r>
          </w:p>
        </w:tc>
        <w:tc>
          <w:tcPr>
            <w:tcW w:type="dxa" w:w="3440"/>
            <w:shd w:fill="E8EEF5"/>
            <w:vAlign w:val="center"/>
            <w:tcMar>
              <w:top w:w="80" w:type="dxa"/>
              <w:start w:w="120" w:type="dxa"/>
              <w:bottom w:w="80" w:type="dxa"/>
              <w:end w:w="120" w:type="dxa"/>
            </w:tcMar>
          </w:tcPr>
          <w:p>
            <w:r>
              <w:rPr>
                <w:rFonts w:ascii="Calibri" w:hAnsi="Calibri"/>
                <w:b/>
                <w:color w:val="1F4D78"/>
                <w:sz w:val="15"/>
              </w:rPr>
              <w:t>T/Th meetings</w:t>
            </w:r>
          </w:p>
        </w:tc>
        <w:tc>
          <w:tcPr>
            <w:tcW w:type="dxa" w:w="2200"/>
            <w:shd w:fill="E8EEF5"/>
            <w:vAlign w:val="center"/>
            <w:tcMar>
              <w:top w:w="80" w:type="dxa"/>
              <w:start w:w="120" w:type="dxa"/>
              <w:bottom w:w="80" w:type="dxa"/>
              <w:end w:w="120" w:type="dxa"/>
            </w:tcMar>
          </w:tcPr>
          <w:p>
            <w:r>
              <w:rPr>
                <w:rFonts w:ascii="Calibri" w:hAnsi="Calibri"/>
                <w:b/>
                <w:color w:val="1F4D78"/>
                <w:sz w:val="15"/>
              </w:rPr>
              <w:t>Evidence / deadline</w:t>
            </w:r>
          </w:p>
        </w:tc>
      </w:tr>
      <w:tr>
        <w:trPr>
          <w:cantSplit w:val="true"/>
        </w:trPr>
        <w:tc>
          <w:tcPr>
            <w:tcW w:type="dxa" w:w="520"/>
            <w:vAlign w:val="center"/>
            <w:tcMar>
              <w:top w:w="80" w:type="dxa"/>
              <w:start w:w="120" w:type="dxa"/>
              <w:bottom w:w="80" w:type="dxa"/>
              <w:end w:w="120" w:type="dxa"/>
            </w:tcMar>
          </w:tcPr>
          <w:p>
            <w:pPr>
              <w:spacing w:after="40" w:line="252" w:lineRule="auto"/>
            </w:pPr>
            <w:r>
              <w:rPr>
                <w:rFonts w:ascii="Calibri" w:hAnsi="Calibri"/>
                <w:color w:val="252A2E"/>
                <w:sz w:val="15"/>
              </w:rPr>
              <w:t>1</w:t>
            </w:r>
          </w:p>
        </w:tc>
        <w:tc>
          <w:tcPr>
            <w:tcW w:type="dxa" w:w="1320"/>
            <w:vAlign w:val="top"/>
            <w:tcMar>
              <w:top w:w="80" w:type="dxa"/>
              <w:start w:w="120" w:type="dxa"/>
              <w:bottom w:w="80" w:type="dxa"/>
              <w:end w:w="120" w:type="dxa"/>
            </w:tcMar>
          </w:tcPr>
          <w:p>
            <w:pPr>
              <w:spacing w:after="40" w:line="252" w:lineRule="auto"/>
            </w:pPr>
            <w:r>
              <w:rPr>
                <w:rFonts w:ascii="Calibri" w:hAnsi="Calibri"/>
                <w:color w:val="252A2E"/>
                <w:sz w:val="15"/>
              </w:rPr>
              <w:t>August 24–28, 2026</w:t>
            </w:r>
          </w:p>
        </w:tc>
        <w:tc>
          <w:tcPr>
            <w:tcW w:type="dxa" w:w="1880"/>
            <w:vAlign w:val="top"/>
            <w:tcMar>
              <w:top w:w="80" w:type="dxa"/>
              <w:start w:w="120" w:type="dxa"/>
              <w:bottom w:w="80" w:type="dxa"/>
              <w:end w:w="120" w:type="dxa"/>
            </w:tcMar>
          </w:tcPr>
          <w:p>
            <w:pPr>
              <w:spacing w:after="40" w:line="252" w:lineRule="auto"/>
            </w:pPr>
            <w:r>
              <w:rPr>
                <w:rFonts w:ascii="Calibri" w:hAnsi="Calibri"/>
                <w:color w:val="252A2E"/>
                <w:sz w:val="15"/>
              </w:rPr>
              <w:t>Where—and When—Is the West?</w:t>
            </w:r>
          </w:p>
        </w:tc>
        <w:tc>
          <w:tcPr>
            <w:tcW w:type="dxa" w:w="3440"/>
            <w:vAlign w:val="top"/>
            <w:tcMar>
              <w:top w:w="80" w:type="dxa"/>
              <w:start w:w="120" w:type="dxa"/>
              <w:bottom w:w="80" w:type="dxa"/>
              <w:end w:w="120" w:type="dxa"/>
            </w:tcMar>
          </w:tcPr>
          <w:p>
            <w:pPr>
              <w:spacing w:after="40" w:line="252" w:lineRule="auto"/>
            </w:pPr>
            <w:r>
              <w:rPr>
                <w:rFonts w:ascii="Calibri" w:hAnsi="Calibri"/>
                <w:color w:val="252A2E"/>
                <w:sz w:val="15"/>
              </w:rPr>
              <w:t>08-25 Tue: Course launch; diagnostic boundary map; establish evidence, discussion, and Decision Record norms. / 08-27 Thu: Compare frontier, borderlands, regional, environmental, and Indigenous-centered frameworks; source clinic.</w:t>
            </w:r>
          </w:p>
        </w:tc>
        <w:tc>
          <w:tcPr>
            <w:tcW w:type="dxa" w:w="2200"/>
            <w:vAlign w:val="top"/>
            <w:tcMar>
              <w:top w:w="80" w:type="dxa"/>
              <w:start w:w="120" w:type="dxa"/>
              <w:bottom w:w="80" w:type="dxa"/>
              <w:end w:w="120" w:type="dxa"/>
            </w:tcMar>
          </w:tcPr>
          <w:p>
            <w:pPr>
              <w:spacing w:after="40" w:line="252" w:lineRule="auto"/>
            </w:pPr>
            <w:r>
              <w:rPr>
                <w:rFonts w:ascii="Calibri" w:hAnsi="Calibri"/>
                <w:color w:val="252A2E"/>
                <w:sz w:val="15"/>
              </w:rPr>
              <w:t>Diagnostic boundary map and exit ticket; completion evidence only.</w:t>
            </w:r>
          </w:p>
        </w:tc>
      </w:tr>
      <w:tr>
        <w:trPr>
          <w:cantSplit w:val="true"/>
        </w:trPr>
        <w:tc>
          <w:tcPr>
            <w:tcW w:type="dxa" w:w="520"/>
            <w:vAlign w:val="center"/>
            <w:tcMar>
              <w:top w:w="80" w:type="dxa"/>
              <w:start w:w="120" w:type="dxa"/>
              <w:bottom w:w="80" w:type="dxa"/>
              <w:end w:w="120" w:type="dxa"/>
            </w:tcMar>
          </w:tcPr>
          <w:p>
            <w:pPr>
              <w:spacing w:after="40" w:line="252" w:lineRule="auto"/>
            </w:pPr>
            <w:r>
              <w:rPr>
                <w:rFonts w:ascii="Calibri" w:hAnsi="Calibri"/>
                <w:color w:val="252A2E"/>
                <w:sz w:val="15"/>
              </w:rPr>
              <w:t>2</w:t>
            </w:r>
          </w:p>
        </w:tc>
        <w:tc>
          <w:tcPr>
            <w:tcW w:type="dxa" w:w="1320"/>
            <w:vAlign w:val="top"/>
            <w:tcMar>
              <w:top w:w="80" w:type="dxa"/>
              <w:start w:w="120" w:type="dxa"/>
              <w:bottom w:w="80" w:type="dxa"/>
              <w:end w:w="120" w:type="dxa"/>
            </w:tcMar>
          </w:tcPr>
          <w:p>
            <w:pPr>
              <w:spacing w:after="40" w:line="252" w:lineRule="auto"/>
            </w:pPr>
            <w:r>
              <w:rPr>
                <w:rFonts w:ascii="Calibri" w:hAnsi="Calibri"/>
                <w:color w:val="252A2E"/>
                <w:sz w:val="15"/>
              </w:rPr>
              <w:t>August 31–September 4, 2026</w:t>
            </w:r>
          </w:p>
        </w:tc>
        <w:tc>
          <w:tcPr>
            <w:tcW w:type="dxa" w:w="1880"/>
            <w:vAlign w:val="top"/>
            <w:tcMar>
              <w:top w:w="80" w:type="dxa"/>
              <w:start w:w="120" w:type="dxa"/>
              <w:bottom w:w="80" w:type="dxa"/>
              <w:end w:w="120" w:type="dxa"/>
            </w:tcMar>
          </w:tcPr>
          <w:p>
            <w:pPr>
              <w:spacing w:after="40" w:line="252" w:lineRule="auto"/>
            </w:pPr>
            <w:r>
              <w:rPr>
                <w:rFonts w:ascii="Calibri" w:hAnsi="Calibri"/>
                <w:color w:val="252A2E"/>
                <w:sz w:val="15"/>
              </w:rPr>
              <w:t>Indigenous Worlds and Competing Empires, 1700s</w:t>
            </w:r>
          </w:p>
        </w:tc>
        <w:tc>
          <w:tcPr>
            <w:tcW w:type="dxa" w:w="3440"/>
            <w:vAlign w:val="top"/>
            <w:tcMar>
              <w:top w:w="80" w:type="dxa"/>
              <w:start w:w="120" w:type="dxa"/>
              <w:bottom w:w="80" w:type="dxa"/>
              <w:end w:w="120" w:type="dxa"/>
            </w:tcMar>
          </w:tcPr>
          <w:p>
            <w:pPr>
              <w:spacing w:after="40" w:line="252" w:lineRule="auto"/>
            </w:pPr>
            <w:r>
              <w:rPr>
                <w:rFonts w:ascii="Calibri" w:hAnsi="Calibri"/>
                <w:color w:val="252A2E"/>
                <w:sz w:val="15"/>
              </w:rPr>
              <w:t>09-01 Tue: Indigenous polities, mobility, kinship, and competing imperial claims in the eighteenth century. / 09-03 Thu: Horses, trade, diplomacy, captive exchange, and a scale-of-power evidence lab.</w:t>
            </w:r>
          </w:p>
        </w:tc>
        <w:tc>
          <w:tcPr>
            <w:tcW w:type="dxa" w:w="2200"/>
            <w:vAlign w:val="top"/>
            <w:tcMar>
              <w:top w:w="80" w:type="dxa"/>
              <w:start w:w="120" w:type="dxa"/>
              <w:bottom w:w="80" w:type="dxa"/>
              <w:end w:w="120" w:type="dxa"/>
            </w:tcMar>
          </w:tcPr>
          <w:p>
            <w:pPr>
              <w:spacing w:after="40" w:line="252" w:lineRule="auto"/>
            </w:pPr>
            <w:r>
              <w:rPr>
                <w:rFonts w:ascii="Calibri" w:hAnsi="Calibri"/>
                <w:color w:val="252A2E"/>
                <w:sz w:val="15"/>
              </w:rPr>
              <w:t>Reading &amp; Reasoning Check 1.</w:t>
            </w:r>
          </w:p>
        </w:tc>
      </w:tr>
      <w:tr>
        <w:trPr>
          <w:cantSplit w:val="true"/>
        </w:trPr>
        <w:tc>
          <w:tcPr>
            <w:tcW w:type="dxa" w:w="520"/>
            <w:vAlign w:val="center"/>
            <w:tcMar>
              <w:top w:w="80" w:type="dxa"/>
              <w:start w:w="120" w:type="dxa"/>
              <w:bottom w:w="80" w:type="dxa"/>
              <w:end w:w="120" w:type="dxa"/>
            </w:tcMar>
          </w:tcPr>
          <w:p>
            <w:pPr>
              <w:spacing w:after="40" w:line="252" w:lineRule="auto"/>
            </w:pPr>
            <w:r>
              <w:rPr>
                <w:rFonts w:ascii="Calibri" w:hAnsi="Calibri"/>
                <w:color w:val="252A2E"/>
                <w:sz w:val="15"/>
              </w:rPr>
              <w:t>3</w:t>
            </w:r>
          </w:p>
        </w:tc>
        <w:tc>
          <w:tcPr>
            <w:tcW w:type="dxa" w:w="1320"/>
            <w:vAlign w:val="top"/>
            <w:tcMar>
              <w:top w:w="80" w:type="dxa"/>
              <w:start w:w="120" w:type="dxa"/>
              <w:bottom w:w="80" w:type="dxa"/>
              <w:end w:w="120" w:type="dxa"/>
            </w:tcMar>
          </w:tcPr>
          <w:p>
            <w:pPr>
              <w:spacing w:after="40" w:line="252" w:lineRule="auto"/>
            </w:pPr>
            <w:r>
              <w:rPr>
                <w:rFonts w:ascii="Calibri" w:hAnsi="Calibri"/>
                <w:color w:val="252A2E"/>
                <w:sz w:val="15"/>
              </w:rPr>
              <w:t>September 7–11, 2026</w:t>
            </w:r>
          </w:p>
        </w:tc>
        <w:tc>
          <w:tcPr>
            <w:tcW w:type="dxa" w:w="1880"/>
            <w:vAlign w:val="top"/>
            <w:tcMar>
              <w:top w:w="80" w:type="dxa"/>
              <w:start w:w="120" w:type="dxa"/>
              <w:bottom w:w="80" w:type="dxa"/>
              <w:end w:w="120" w:type="dxa"/>
            </w:tcMar>
          </w:tcPr>
          <w:p>
            <w:pPr>
              <w:spacing w:after="40" w:line="252" w:lineRule="auto"/>
            </w:pPr>
            <w:r>
              <w:rPr>
                <w:rFonts w:ascii="Calibri" w:hAnsi="Calibri"/>
                <w:color w:val="252A2E"/>
                <w:sz w:val="15"/>
              </w:rPr>
              <w:t>Borderlands, Louisiana, and the Platte Purchase</w:t>
            </w:r>
          </w:p>
        </w:tc>
        <w:tc>
          <w:tcPr>
            <w:tcW w:type="dxa" w:w="3440"/>
            <w:vAlign w:val="top"/>
            <w:tcMar>
              <w:top w:w="80" w:type="dxa"/>
              <w:start w:w="120" w:type="dxa"/>
              <w:bottom w:w="80" w:type="dxa"/>
              <w:end w:w="120" w:type="dxa"/>
            </w:tcMar>
          </w:tcPr>
          <w:p>
            <w:pPr>
              <w:spacing w:after="40" w:line="252" w:lineRule="auto"/>
            </w:pPr>
            <w:r>
              <w:rPr>
                <w:rFonts w:ascii="Calibri" w:hAnsi="Calibri"/>
                <w:color w:val="252A2E"/>
                <w:sz w:val="15"/>
              </w:rPr>
              <w:t>09-08 Tue: Louisiana Purchase claims, diplomacy, intelligence, and contested sovereignty. / 09-10 Thu: Platte Purchase document chain, Northwest archive orientation, and Mapping the West studio.</w:t>
            </w:r>
          </w:p>
        </w:tc>
        <w:tc>
          <w:tcPr>
            <w:tcW w:type="dxa" w:w="2200"/>
            <w:vAlign w:val="top"/>
            <w:tcMar>
              <w:top w:w="80" w:type="dxa"/>
              <w:start w:w="120" w:type="dxa"/>
              <w:bottom w:w="80" w:type="dxa"/>
              <w:end w:w="120" w:type="dxa"/>
            </w:tcMar>
          </w:tcPr>
          <w:p>
            <w:pPr>
              <w:spacing w:after="40" w:line="252" w:lineRule="auto"/>
            </w:pPr>
            <w:r>
              <w:rPr>
                <w:rFonts w:ascii="Calibri" w:hAnsi="Calibri"/>
                <w:color w:val="252A2E"/>
                <w:sz w:val="15"/>
              </w:rPr>
              <w:t>Mapping studio draft; major submission follows Friday, September 18.</w:t>
            </w:r>
          </w:p>
        </w:tc>
      </w:tr>
      <w:tr>
        <w:trPr>
          <w:cantSplit w:val="true"/>
        </w:trPr>
        <w:tc>
          <w:tcPr>
            <w:tcW w:type="dxa" w:w="520"/>
            <w:vAlign w:val="center"/>
            <w:tcMar>
              <w:top w:w="80" w:type="dxa"/>
              <w:start w:w="120" w:type="dxa"/>
              <w:bottom w:w="80" w:type="dxa"/>
              <w:end w:w="120" w:type="dxa"/>
            </w:tcMar>
          </w:tcPr>
          <w:p>
            <w:pPr>
              <w:spacing w:after="40" w:line="252" w:lineRule="auto"/>
            </w:pPr>
            <w:r>
              <w:rPr>
                <w:rFonts w:ascii="Calibri" w:hAnsi="Calibri"/>
                <w:color w:val="252A2E"/>
                <w:sz w:val="15"/>
              </w:rPr>
              <w:t>4</w:t>
            </w:r>
          </w:p>
        </w:tc>
        <w:tc>
          <w:tcPr>
            <w:tcW w:type="dxa" w:w="1320"/>
            <w:vAlign w:val="top"/>
            <w:tcMar>
              <w:top w:w="80" w:type="dxa"/>
              <w:start w:w="120" w:type="dxa"/>
              <w:bottom w:w="80" w:type="dxa"/>
              <w:end w:w="120" w:type="dxa"/>
            </w:tcMar>
          </w:tcPr>
          <w:p>
            <w:pPr>
              <w:spacing w:after="40" w:line="252" w:lineRule="auto"/>
            </w:pPr>
            <w:r>
              <w:rPr>
                <w:rFonts w:ascii="Calibri" w:hAnsi="Calibri"/>
                <w:color w:val="252A2E"/>
                <w:sz w:val="15"/>
              </w:rPr>
              <w:t>September 14–18, 2026</w:t>
            </w:r>
          </w:p>
        </w:tc>
        <w:tc>
          <w:tcPr>
            <w:tcW w:type="dxa" w:w="1880"/>
            <w:vAlign w:val="top"/>
            <w:tcMar>
              <w:top w:w="80" w:type="dxa"/>
              <w:start w:w="120" w:type="dxa"/>
              <w:bottom w:w="80" w:type="dxa"/>
              <w:end w:w="120" w:type="dxa"/>
            </w:tcMar>
          </w:tcPr>
          <w:p>
            <w:pPr>
              <w:spacing w:after="40" w:line="252" w:lineRule="auto"/>
            </w:pPr>
            <w:r>
              <w:rPr>
                <w:rFonts w:ascii="Calibri" w:hAnsi="Calibri"/>
                <w:color w:val="252A2E"/>
                <w:sz w:val="15"/>
              </w:rPr>
              <w:t>Removal, Sovereignty, and the Mexican North</w:t>
            </w:r>
          </w:p>
        </w:tc>
        <w:tc>
          <w:tcPr>
            <w:tcW w:type="dxa" w:w="3440"/>
            <w:vAlign w:val="top"/>
            <w:tcMar>
              <w:top w:w="80" w:type="dxa"/>
              <w:start w:w="120" w:type="dxa"/>
              <w:bottom w:w="80" w:type="dxa"/>
              <w:end w:w="120" w:type="dxa"/>
            </w:tcMar>
          </w:tcPr>
          <w:p>
            <w:pPr>
              <w:spacing w:after="40" w:line="252" w:lineRule="auto"/>
            </w:pPr>
            <w:r>
              <w:rPr>
                <w:rFonts w:ascii="Calibri" w:hAnsi="Calibri"/>
                <w:color w:val="252A2E"/>
                <w:sz w:val="15"/>
              </w:rPr>
              <w:t>09-15 Tue: Removal, treaty vocabulary, parties, translation, coercion, and sovereignty. / 09-17 Thu: Mexican North, jurisdiction, Indigenous diplomacy, and Source Reasoning Lab 1 annotation.</w:t>
            </w:r>
          </w:p>
        </w:tc>
        <w:tc>
          <w:tcPr>
            <w:tcW w:type="dxa" w:w="2200"/>
            <w:vAlign w:val="top"/>
            <w:tcMar>
              <w:top w:w="80" w:type="dxa"/>
              <w:start w:w="120" w:type="dxa"/>
              <w:bottom w:w="80" w:type="dxa"/>
              <w:end w:w="120" w:type="dxa"/>
            </w:tcMar>
          </w:tcPr>
          <w:p>
            <w:pPr>
              <w:spacing w:after="40" w:line="252" w:lineRule="auto"/>
            </w:pPr>
            <w:r>
              <w:rPr>
                <w:rFonts w:ascii="Calibri" w:hAnsi="Calibri"/>
                <w:color w:val="252A2E"/>
                <w:sz w:val="15"/>
              </w:rPr>
              <w:t>Mapping the West due Friday; Source Reasoning Lab 1 annotation in class.</w:t>
            </w:r>
          </w:p>
        </w:tc>
      </w:tr>
      <w:tr>
        <w:trPr>
          <w:cantSplit w:val="true"/>
        </w:trPr>
        <w:tc>
          <w:tcPr>
            <w:tcW w:type="dxa" w:w="520"/>
            <w:vAlign w:val="center"/>
            <w:tcMar>
              <w:top w:w="80" w:type="dxa"/>
              <w:start w:w="120" w:type="dxa"/>
              <w:bottom w:w="80" w:type="dxa"/>
              <w:end w:w="120" w:type="dxa"/>
            </w:tcMar>
          </w:tcPr>
          <w:p>
            <w:pPr>
              <w:spacing w:after="40" w:line="252" w:lineRule="auto"/>
            </w:pPr>
            <w:r>
              <w:rPr>
                <w:rFonts w:ascii="Calibri" w:hAnsi="Calibri"/>
                <w:color w:val="252A2E"/>
                <w:sz w:val="15"/>
              </w:rPr>
              <w:t>5</w:t>
            </w:r>
          </w:p>
        </w:tc>
        <w:tc>
          <w:tcPr>
            <w:tcW w:type="dxa" w:w="1320"/>
            <w:vAlign w:val="top"/>
            <w:tcMar>
              <w:top w:w="80" w:type="dxa"/>
              <w:start w:w="120" w:type="dxa"/>
              <w:bottom w:w="80" w:type="dxa"/>
              <w:end w:w="120" w:type="dxa"/>
            </w:tcMar>
          </w:tcPr>
          <w:p>
            <w:pPr>
              <w:spacing w:after="40" w:line="252" w:lineRule="auto"/>
            </w:pPr>
            <w:r>
              <w:rPr>
                <w:rFonts w:ascii="Calibri" w:hAnsi="Calibri"/>
                <w:color w:val="252A2E"/>
                <w:sz w:val="15"/>
              </w:rPr>
              <w:t>September 21–25, 2026</w:t>
            </w:r>
          </w:p>
        </w:tc>
        <w:tc>
          <w:tcPr>
            <w:tcW w:type="dxa" w:w="1880"/>
            <w:vAlign w:val="top"/>
            <w:tcMar>
              <w:top w:w="80" w:type="dxa"/>
              <w:start w:w="120" w:type="dxa"/>
              <w:bottom w:w="80" w:type="dxa"/>
              <w:end w:w="120" w:type="dxa"/>
            </w:tcMar>
          </w:tcPr>
          <w:p>
            <w:pPr>
              <w:spacing w:after="40" w:line="252" w:lineRule="auto"/>
            </w:pPr>
            <w:r>
              <w:rPr>
                <w:rFonts w:ascii="Calibri" w:hAnsi="Calibri"/>
                <w:color w:val="252A2E"/>
                <w:sz w:val="15"/>
              </w:rPr>
              <w:t>Manifest Destiny, War, Slavery, and Gold</w:t>
            </w:r>
          </w:p>
        </w:tc>
        <w:tc>
          <w:tcPr>
            <w:tcW w:type="dxa" w:w="3440"/>
            <w:vAlign w:val="top"/>
            <w:tcMar>
              <w:top w:w="80" w:type="dxa"/>
              <w:start w:w="120" w:type="dxa"/>
              <w:bottom w:w="80" w:type="dxa"/>
              <w:end w:w="120" w:type="dxa"/>
            </w:tcMar>
          </w:tcPr>
          <w:p>
            <w:pPr>
              <w:spacing w:after="40" w:line="252" w:lineRule="auto"/>
            </w:pPr>
            <w:r>
              <w:rPr>
                <w:rFonts w:ascii="Calibri" w:hAnsi="Calibri"/>
                <w:color w:val="252A2E"/>
                <w:sz w:val="15"/>
              </w:rPr>
              <w:t>09-22 Tue: Manifest Destiny, Texas, the U.S.–Mexico War, and conquest. / 09-24 Thu: Slavery’s western reach, gold, property, and a corroboration controversy.</w:t>
            </w:r>
          </w:p>
        </w:tc>
        <w:tc>
          <w:tcPr>
            <w:tcW w:type="dxa" w:w="2200"/>
            <w:vAlign w:val="top"/>
            <w:tcMar>
              <w:top w:w="80" w:type="dxa"/>
              <w:start w:w="120" w:type="dxa"/>
              <w:bottom w:w="80" w:type="dxa"/>
              <w:end w:w="120" w:type="dxa"/>
            </w:tcMar>
          </w:tcPr>
          <w:p>
            <w:pPr>
              <w:spacing w:after="40" w:line="252" w:lineRule="auto"/>
            </w:pPr>
            <w:r>
              <w:rPr>
                <w:rFonts w:ascii="Calibri" w:hAnsi="Calibri"/>
                <w:color w:val="252A2E"/>
                <w:sz w:val="15"/>
              </w:rPr>
              <w:t>Source Reasoning Lab 1 and Reading &amp; Reasoning Check 3.</w:t>
            </w:r>
          </w:p>
        </w:tc>
      </w:tr>
      <w:tr>
        <w:trPr>
          <w:cantSplit w:val="true"/>
        </w:trPr>
        <w:tc>
          <w:tcPr>
            <w:tcW w:type="dxa" w:w="520"/>
            <w:vAlign w:val="center"/>
            <w:tcMar>
              <w:top w:w="80" w:type="dxa"/>
              <w:start w:w="120" w:type="dxa"/>
              <w:bottom w:w="80" w:type="dxa"/>
              <w:end w:w="120" w:type="dxa"/>
            </w:tcMar>
          </w:tcPr>
          <w:p>
            <w:pPr>
              <w:spacing w:after="40" w:line="252" w:lineRule="auto"/>
            </w:pPr>
            <w:r>
              <w:rPr>
                <w:rFonts w:ascii="Calibri" w:hAnsi="Calibri"/>
                <w:color w:val="252A2E"/>
                <w:sz w:val="15"/>
              </w:rPr>
              <w:t>6</w:t>
            </w:r>
          </w:p>
        </w:tc>
        <w:tc>
          <w:tcPr>
            <w:tcW w:type="dxa" w:w="1320"/>
            <w:vAlign w:val="top"/>
            <w:tcMar>
              <w:top w:w="80" w:type="dxa"/>
              <w:start w:w="120" w:type="dxa"/>
              <w:bottom w:w="80" w:type="dxa"/>
              <w:end w:w="120" w:type="dxa"/>
            </w:tcMar>
          </w:tcPr>
          <w:p>
            <w:pPr>
              <w:spacing w:after="40" w:line="252" w:lineRule="auto"/>
            </w:pPr>
            <w:r>
              <w:rPr>
                <w:rFonts w:ascii="Calibri" w:hAnsi="Calibri"/>
                <w:color w:val="252A2E"/>
                <w:sz w:val="15"/>
              </w:rPr>
              <w:t>September 28–October 2, 2026</w:t>
            </w:r>
          </w:p>
        </w:tc>
        <w:tc>
          <w:tcPr>
            <w:tcW w:type="dxa" w:w="1880"/>
            <w:vAlign w:val="top"/>
            <w:tcMar>
              <w:top w:w="80" w:type="dxa"/>
              <w:start w:w="120" w:type="dxa"/>
              <w:bottom w:w="80" w:type="dxa"/>
              <w:end w:w="120" w:type="dxa"/>
            </w:tcMar>
          </w:tcPr>
          <w:p>
            <w:pPr>
              <w:spacing w:after="40" w:line="252" w:lineRule="auto"/>
            </w:pPr>
            <w:r>
              <w:rPr>
                <w:rFonts w:ascii="Calibri" w:hAnsi="Calibri"/>
                <w:color w:val="252A2E"/>
                <w:sz w:val="15"/>
              </w:rPr>
              <w:t>Overland Migration, Death, and Environment</w:t>
            </w:r>
          </w:p>
        </w:tc>
        <w:tc>
          <w:tcPr>
            <w:tcW w:type="dxa" w:w="3440"/>
            <w:vAlign w:val="top"/>
            <w:tcMar>
              <w:top w:w="80" w:type="dxa"/>
              <w:start w:w="120" w:type="dxa"/>
              <w:bottom w:w="80" w:type="dxa"/>
              <w:end w:w="120" w:type="dxa"/>
            </w:tcMar>
          </w:tcPr>
          <w:p>
            <w:pPr>
              <w:spacing w:after="40" w:line="252" w:lineRule="auto"/>
            </w:pPr>
            <w:r>
              <w:rPr>
                <w:rFonts w:ascii="Calibri" w:hAnsi="Calibri"/>
                <w:color w:val="252A2E"/>
                <w:sz w:val="15"/>
              </w:rPr>
              <w:t>09-29 Tue: Route and risk mapping from trail diaries, material traces, and quantitative evidence. / 10-01 Thu: Family labor, gender, Indigenous homelands, disease, mortality, and Source Lab 2 transfer.</w:t>
            </w:r>
          </w:p>
        </w:tc>
        <w:tc>
          <w:tcPr>
            <w:tcW w:type="dxa" w:w="2200"/>
            <w:vAlign w:val="top"/>
            <w:tcMar>
              <w:top w:w="80" w:type="dxa"/>
              <w:start w:w="120" w:type="dxa"/>
              <w:bottom w:w="80" w:type="dxa"/>
              <w:end w:w="120" w:type="dxa"/>
            </w:tcMar>
          </w:tcPr>
          <w:p>
            <w:pPr>
              <w:spacing w:after="40" w:line="252" w:lineRule="auto"/>
            </w:pPr>
            <w:r>
              <w:rPr>
                <w:rFonts w:ascii="Calibri" w:hAnsi="Calibri"/>
                <w:color w:val="252A2E"/>
                <w:sz w:val="15"/>
              </w:rPr>
              <w:t>Source Reasoning Lab 2 and Reading &amp; Reasoning Check 4.</w:t>
            </w:r>
          </w:p>
        </w:tc>
      </w:tr>
      <w:tr>
        <w:trPr>
          <w:cantSplit w:val="true"/>
        </w:trPr>
        <w:tc>
          <w:tcPr>
            <w:tcW w:type="dxa" w:w="520"/>
            <w:vAlign w:val="center"/>
            <w:tcMar>
              <w:top w:w="80" w:type="dxa"/>
              <w:start w:w="120" w:type="dxa"/>
              <w:bottom w:w="80" w:type="dxa"/>
              <w:end w:w="120" w:type="dxa"/>
            </w:tcMar>
          </w:tcPr>
          <w:p>
            <w:pPr>
              <w:spacing w:after="40" w:line="252" w:lineRule="auto"/>
            </w:pPr>
            <w:r>
              <w:rPr>
                <w:rFonts w:ascii="Calibri" w:hAnsi="Calibri"/>
                <w:color w:val="252A2E"/>
                <w:sz w:val="15"/>
              </w:rPr>
              <w:t>7</w:t>
            </w:r>
          </w:p>
        </w:tc>
        <w:tc>
          <w:tcPr>
            <w:tcW w:type="dxa" w:w="1320"/>
            <w:vAlign w:val="top"/>
            <w:tcMar>
              <w:top w:w="80" w:type="dxa"/>
              <w:start w:w="120" w:type="dxa"/>
              <w:bottom w:w="80" w:type="dxa"/>
              <w:end w:w="120" w:type="dxa"/>
            </w:tcMar>
          </w:tcPr>
          <w:p>
            <w:pPr>
              <w:spacing w:after="40" w:line="252" w:lineRule="auto"/>
            </w:pPr>
            <w:r>
              <w:rPr>
                <w:rFonts w:ascii="Calibri" w:hAnsi="Calibri"/>
                <w:color w:val="252A2E"/>
                <w:sz w:val="15"/>
              </w:rPr>
              <w:t>October 5–9, 2026</w:t>
            </w:r>
          </w:p>
        </w:tc>
        <w:tc>
          <w:tcPr>
            <w:tcW w:type="dxa" w:w="1880"/>
            <w:vAlign w:val="top"/>
            <w:tcMar>
              <w:top w:w="80" w:type="dxa"/>
              <w:start w:w="120" w:type="dxa"/>
              <w:bottom w:w="80" w:type="dxa"/>
              <w:end w:w="120" w:type="dxa"/>
            </w:tcMar>
          </w:tcPr>
          <w:p>
            <w:pPr>
              <w:spacing w:after="40" w:line="252" w:lineRule="auto"/>
            </w:pPr>
            <w:r>
              <w:rPr>
                <w:rFonts w:ascii="Calibri" w:hAnsi="Calibri"/>
                <w:color w:val="252A2E"/>
                <w:sz w:val="15"/>
              </w:rPr>
              <w:t>Civil War and Continental State-Building</w:t>
            </w:r>
          </w:p>
        </w:tc>
        <w:tc>
          <w:tcPr>
            <w:tcW w:type="dxa" w:w="3440"/>
            <w:vAlign w:val="top"/>
            <w:tcMar>
              <w:top w:w="80" w:type="dxa"/>
              <w:start w:w="120" w:type="dxa"/>
              <w:bottom w:w="80" w:type="dxa"/>
              <w:end w:w="120" w:type="dxa"/>
            </w:tcMar>
          </w:tcPr>
          <w:p>
            <w:pPr>
              <w:spacing w:after="40" w:line="252" w:lineRule="auto"/>
            </w:pPr>
            <w:r>
              <w:rPr>
                <w:rFonts w:ascii="Calibri" w:hAnsi="Calibri"/>
                <w:color w:val="252A2E"/>
                <w:sz w:val="15"/>
              </w:rPr>
              <w:t>10-06 Tue: Civil War in Missouri, Indian Territory, New Mexico, and the Pacific. / 10-08 Thu: Dakota War, the Long Walk, emancipation, Greater Reconstruction, and capstone scope conferences.</w:t>
            </w:r>
          </w:p>
        </w:tc>
        <w:tc>
          <w:tcPr>
            <w:tcW w:type="dxa" w:w="2200"/>
            <w:vAlign w:val="top"/>
            <w:tcMar>
              <w:top w:w="80" w:type="dxa"/>
              <w:start w:w="120" w:type="dxa"/>
              <w:bottom w:w="80" w:type="dxa"/>
              <w:end w:w="120" w:type="dxa"/>
            </w:tcMar>
          </w:tcPr>
          <w:p>
            <w:pPr>
              <w:spacing w:after="40" w:line="252" w:lineRule="auto"/>
            </w:pPr>
            <w:r>
              <w:rPr>
                <w:rFonts w:ascii="Calibri" w:hAnsi="Calibri"/>
                <w:color w:val="252A2E"/>
                <w:sz w:val="15"/>
              </w:rPr>
              <w:t>Capstone Question and Scope Conference and Reading &amp; Reasoning Check 5.</w:t>
            </w:r>
          </w:p>
        </w:tc>
      </w:tr>
      <w:tr>
        <w:trPr>
          <w:cantSplit w:val="true"/>
        </w:trPr>
        <w:tc>
          <w:tcPr>
            <w:tcW w:type="dxa" w:w="520"/>
            <w:vAlign w:val="center"/>
            <w:tcMar>
              <w:top w:w="80" w:type="dxa"/>
              <w:start w:w="120" w:type="dxa"/>
              <w:bottom w:w="80" w:type="dxa"/>
              <w:end w:w="120" w:type="dxa"/>
            </w:tcMar>
          </w:tcPr>
          <w:p>
            <w:pPr>
              <w:spacing w:after="40" w:line="252" w:lineRule="auto"/>
            </w:pPr>
            <w:r>
              <w:rPr>
                <w:rFonts w:ascii="Calibri" w:hAnsi="Calibri"/>
                <w:color w:val="252A2E"/>
                <w:sz w:val="15"/>
              </w:rPr>
              <w:t>8</w:t>
            </w:r>
          </w:p>
        </w:tc>
        <w:tc>
          <w:tcPr>
            <w:tcW w:type="dxa" w:w="1320"/>
            <w:vAlign w:val="top"/>
            <w:tcMar>
              <w:top w:w="80" w:type="dxa"/>
              <w:start w:w="120" w:type="dxa"/>
              <w:bottom w:w="80" w:type="dxa"/>
              <w:end w:w="120" w:type="dxa"/>
            </w:tcMar>
          </w:tcPr>
          <w:p>
            <w:pPr>
              <w:spacing w:after="40" w:line="252" w:lineRule="auto"/>
            </w:pPr>
            <w:r>
              <w:rPr>
                <w:rFonts w:ascii="Calibri" w:hAnsi="Calibri"/>
                <w:color w:val="252A2E"/>
                <w:sz w:val="15"/>
              </w:rPr>
              <w:t>October 12–16, 2026</w:t>
            </w:r>
          </w:p>
        </w:tc>
        <w:tc>
          <w:tcPr>
            <w:tcW w:type="dxa" w:w="1880"/>
            <w:vAlign w:val="top"/>
            <w:tcMar>
              <w:top w:w="80" w:type="dxa"/>
              <w:start w:w="120" w:type="dxa"/>
              <w:bottom w:w="80" w:type="dxa"/>
              <w:end w:w="120" w:type="dxa"/>
            </w:tcMar>
          </w:tcPr>
          <w:p>
            <w:pPr>
              <w:spacing w:after="40" w:line="252" w:lineRule="auto"/>
            </w:pPr>
            <w:r>
              <w:rPr>
                <w:rFonts w:ascii="Calibri" w:hAnsi="Calibri"/>
                <w:color w:val="252A2E"/>
                <w:sz w:val="15"/>
              </w:rPr>
              <w:t>Railroads, Corporate Empire, and Dispossession</w:t>
            </w:r>
          </w:p>
        </w:tc>
        <w:tc>
          <w:tcPr>
            <w:tcW w:type="dxa" w:w="3440"/>
            <w:vAlign w:val="top"/>
            <w:tcMar>
              <w:top w:w="80" w:type="dxa"/>
              <w:start w:w="120" w:type="dxa"/>
              <w:bottom w:w="80" w:type="dxa"/>
              <w:end w:w="120" w:type="dxa"/>
            </w:tcMar>
          </w:tcPr>
          <w:p>
            <w:pPr>
              <w:spacing w:after="40" w:line="252" w:lineRule="auto"/>
            </w:pPr>
            <w:r>
              <w:rPr>
                <w:rFonts w:ascii="Calibri" w:hAnsi="Calibri"/>
                <w:color w:val="252A2E"/>
                <w:sz w:val="15"/>
              </w:rPr>
              <w:t>10-13 Tue: Railroad promotion, federal subsidy, land policy, corporate sovereignty, and labor. / 10-15 Thu: Railroads, military logistics, dispossession, and the in-class historiographical synthesis.</w:t>
            </w:r>
          </w:p>
        </w:tc>
        <w:tc>
          <w:tcPr>
            <w:tcW w:type="dxa" w:w="2200"/>
            <w:vAlign w:val="top"/>
            <w:tcMar>
              <w:top w:w="80" w:type="dxa"/>
              <w:start w:w="120" w:type="dxa"/>
              <w:bottom w:w="80" w:type="dxa"/>
              <w:end w:w="120" w:type="dxa"/>
            </w:tcMar>
          </w:tcPr>
          <w:p>
            <w:pPr>
              <w:spacing w:after="40" w:line="252" w:lineRule="auto"/>
            </w:pPr>
            <w:r>
              <w:rPr>
                <w:rFonts w:ascii="Calibri" w:hAnsi="Calibri"/>
                <w:color w:val="252A2E"/>
                <w:sz w:val="15"/>
              </w:rPr>
              <w:t>Historiographical Judgment Portfolio and Reading &amp; Reasoning Check 6.</w:t>
            </w:r>
          </w:p>
        </w:tc>
      </w:tr>
      <w:tr>
        <w:trPr>
          <w:cantSplit w:val="true"/>
        </w:trPr>
        <w:tc>
          <w:tcPr>
            <w:tcW w:type="dxa" w:w="520"/>
            <w:vAlign w:val="center"/>
            <w:tcMar>
              <w:top w:w="80" w:type="dxa"/>
              <w:start w:w="120" w:type="dxa"/>
              <w:bottom w:w="80" w:type="dxa"/>
              <w:end w:w="120" w:type="dxa"/>
            </w:tcMar>
          </w:tcPr>
          <w:p>
            <w:pPr>
              <w:spacing w:after="40" w:line="252" w:lineRule="auto"/>
            </w:pPr>
            <w:r>
              <w:rPr>
                <w:rFonts w:ascii="Calibri" w:hAnsi="Calibri"/>
                <w:color w:val="252A2E"/>
                <w:sz w:val="15"/>
              </w:rPr>
              <w:t>9</w:t>
            </w:r>
          </w:p>
        </w:tc>
        <w:tc>
          <w:tcPr>
            <w:tcW w:type="dxa" w:w="1320"/>
            <w:vAlign w:val="top"/>
            <w:tcMar>
              <w:top w:w="80" w:type="dxa"/>
              <w:start w:w="120" w:type="dxa"/>
              <w:bottom w:w="80" w:type="dxa"/>
              <w:end w:w="120" w:type="dxa"/>
            </w:tcMar>
          </w:tcPr>
          <w:p>
            <w:pPr>
              <w:spacing w:after="40" w:line="252" w:lineRule="auto"/>
            </w:pPr>
            <w:r>
              <w:rPr>
                <w:rFonts w:ascii="Calibri" w:hAnsi="Calibri"/>
                <w:color w:val="252A2E"/>
                <w:sz w:val="15"/>
              </w:rPr>
              <w:t>October 19–23, 2026</w:t>
            </w:r>
          </w:p>
        </w:tc>
        <w:tc>
          <w:tcPr>
            <w:tcW w:type="dxa" w:w="1880"/>
            <w:vAlign w:val="top"/>
            <w:tcMar>
              <w:top w:w="80" w:type="dxa"/>
              <w:start w:w="120" w:type="dxa"/>
              <w:bottom w:w="80" w:type="dxa"/>
              <w:end w:w="120" w:type="dxa"/>
            </w:tcMar>
          </w:tcPr>
          <w:p>
            <w:pPr>
              <w:spacing w:after="40" w:line="252" w:lineRule="auto"/>
            </w:pPr>
            <w:r>
              <w:rPr>
                <w:rFonts w:ascii="Calibri" w:hAnsi="Calibri"/>
                <w:color w:val="252A2E"/>
                <w:sz w:val="15"/>
              </w:rPr>
              <w:t>Reservations, Allotment, Education, and Indigenous Persistence</w:t>
            </w:r>
          </w:p>
        </w:tc>
        <w:tc>
          <w:tcPr>
            <w:tcW w:type="dxa" w:w="3440"/>
            <w:vAlign w:val="top"/>
            <w:tcMar>
              <w:top w:w="80" w:type="dxa"/>
              <w:start w:w="120" w:type="dxa"/>
              <w:bottom w:w="80" w:type="dxa"/>
              <w:end w:w="120" w:type="dxa"/>
            </w:tcMar>
          </w:tcPr>
          <w:p>
            <w:pPr>
              <w:spacing w:after="40" w:line="252" w:lineRule="auto"/>
            </w:pPr>
            <w:r>
              <w:rPr>
                <w:rFonts w:ascii="Calibri" w:hAnsi="Calibri"/>
                <w:color w:val="252A2E"/>
                <w:sz w:val="15"/>
              </w:rPr>
              <w:t>10-20 Tue: Reservation policy, allotment, kinship, and settler governance. / 10-22 Thu: Boarding-school records, child removal, archival harm, Indigenous persistence, and data sovereignty.</w:t>
            </w:r>
          </w:p>
        </w:tc>
        <w:tc>
          <w:tcPr>
            <w:tcW w:type="dxa" w:w="2200"/>
            <w:vAlign w:val="top"/>
            <w:tcMar>
              <w:top w:w="80" w:type="dxa"/>
              <w:start w:w="120" w:type="dxa"/>
              <w:bottom w:w="80" w:type="dxa"/>
              <w:end w:w="120" w:type="dxa"/>
            </w:tcMar>
          </w:tcPr>
          <w:p>
            <w:pPr>
              <w:spacing w:after="40" w:line="252" w:lineRule="auto"/>
            </w:pPr>
            <w:r>
              <w:rPr>
                <w:rFonts w:ascii="Calibri" w:hAnsi="Calibri"/>
                <w:color w:val="252A2E"/>
                <w:sz w:val="15"/>
              </w:rPr>
              <w:t>Reading &amp; Reasoning Check 7.</w:t>
            </w:r>
          </w:p>
        </w:tc>
      </w:tr>
      <w:tr>
        <w:trPr>
          <w:cantSplit w:val="true"/>
        </w:trPr>
        <w:tc>
          <w:tcPr>
            <w:tcW w:type="dxa" w:w="520"/>
            <w:vAlign w:val="center"/>
            <w:tcMar>
              <w:top w:w="80" w:type="dxa"/>
              <w:start w:w="120" w:type="dxa"/>
              <w:bottom w:w="80" w:type="dxa"/>
              <w:end w:w="120" w:type="dxa"/>
            </w:tcMar>
          </w:tcPr>
          <w:p>
            <w:pPr>
              <w:spacing w:after="40" w:line="252" w:lineRule="auto"/>
            </w:pPr>
            <w:r>
              <w:rPr>
                <w:rFonts w:ascii="Calibri" w:hAnsi="Calibri"/>
                <w:color w:val="252A2E"/>
                <w:sz w:val="15"/>
              </w:rPr>
              <w:t>10</w:t>
            </w:r>
          </w:p>
        </w:tc>
        <w:tc>
          <w:tcPr>
            <w:tcW w:type="dxa" w:w="1320"/>
            <w:vAlign w:val="top"/>
            <w:tcMar>
              <w:top w:w="80" w:type="dxa"/>
              <w:start w:w="120" w:type="dxa"/>
              <w:bottom w:w="80" w:type="dxa"/>
              <w:end w:w="120" w:type="dxa"/>
            </w:tcMar>
          </w:tcPr>
          <w:p>
            <w:pPr>
              <w:spacing w:after="40" w:line="252" w:lineRule="auto"/>
            </w:pPr>
            <w:r>
              <w:rPr>
                <w:rFonts w:ascii="Calibri" w:hAnsi="Calibri"/>
                <w:color w:val="252A2E"/>
                <w:sz w:val="15"/>
              </w:rPr>
              <w:t>October 26–30, 2026 — Homecoming Week</w:t>
            </w:r>
          </w:p>
        </w:tc>
        <w:tc>
          <w:tcPr>
            <w:tcW w:type="dxa" w:w="1880"/>
            <w:vAlign w:val="top"/>
            <w:tcMar>
              <w:top w:w="80" w:type="dxa"/>
              <w:start w:w="120" w:type="dxa"/>
              <w:bottom w:w="80" w:type="dxa"/>
              <w:end w:w="120" w:type="dxa"/>
            </w:tcMar>
          </w:tcPr>
          <w:p>
            <w:pPr>
              <w:spacing w:after="40" w:line="252" w:lineRule="auto"/>
            </w:pPr>
            <w:r>
              <w:rPr>
                <w:rFonts w:ascii="Calibri" w:hAnsi="Calibri"/>
                <w:color w:val="252A2E"/>
                <w:sz w:val="15"/>
              </w:rPr>
              <w:t>Racial Regimes, Labor, and Border Violence, 1880–1920</w:t>
            </w:r>
          </w:p>
        </w:tc>
        <w:tc>
          <w:tcPr>
            <w:tcW w:type="dxa" w:w="3440"/>
            <w:vAlign w:val="top"/>
            <w:tcMar>
              <w:top w:w="80" w:type="dxa"/>
              <w:start w:w="120" w:type="dxa"/>
              <w:bottom w:w="80" w:type="dxa"/>
              <w:end w:w="120" w:type="dxa"/>
            </w:tcMar>
          </w:tcPr>
          <w:p>
            <w:pPr>
              <w:spacing w:after="40" w:line="252" w:lineRule="auto"/>
            </w:pPr>
            <w:r>
              <w:rPr>
                <w:rFonts w:ascii="Calibri" w:hAnsi="Calibri"/>
                <w:color w:val="252A2E"/>
                <w:sz w:val="15"/>
              </w:rPr>
              <w:t>10-27 Tue: Racial formation through law, labor, migration, and border violence. / 10-29 Thu: Newspaper comparison, corroboration, ethical quotation, and Source Lab 3 transfer.</w:t>
            </w:r>
          </w:p>
        </w:tc>
        <w:tc>
          <w:tcPr>
            <w:tcW w:type="dxa" w:w="2200"/>
            <w:vAlign w:val="top"/>
            <w:tcMar>
              <w:top w:w="80" w:type="dxa"/>
              <w:start w:w="120" w:type="dxa"/>
              <w:bottom w:w="80" w:type="dxa"/>
              <w:end w:w="120" w:type="dxa"/>
            </w:tcMar>
          </w:tcPr>
          <w:p>
            <w:pPr>
              <w:spacing w:after="40" w:line="252" w:lineRule="auto"/>
            </w:pPr>
            <w:r>
              <w:rPr>
                <w:rFonts w:ascii="Calibri" w:hAnsi="Calibri"/>
                <w:color w:val="252A2E"/>
                <w:sz w:val="15"/>
              </w:rPr>
              <w:t>Source Reasoning Lab 3 and Reading &amp; Reasoning Check 8.</w:t>
            </w:r>
          </w:p>
        </w:tc>
      </w:tr>
      <w:tr>
        <w:trPr>
          <w:cantSplit w:val="true"/>
        </w:trPr>
        <w:tc>
          <w:tcPr>
            <w:tcW w:type="dxa" w:w="520"/>
            <w:vAlign w:val="center"/>
            <w:tcMar>
              <w:top w:w="80" w:type="dxa"/>
              <w:start w:w="120" w:type="dxa"/>
              <w:bottom w:w="80" w:type="dxa"/>
              <w:end w:w="120" w:type="dxa"/>
            </w:tcMar>
          </w:tcPr>
          <w:p>
            <w:pPr>
              <w:spacing w:after="40" w:line="252" w:lineRule="auto"/>
            </w:pPr>
            <w:r>
              <w:rPr>
                <w:rFonts w:ascii="Calibri" w:hAnsi="Calibri"/>
                <w:color w:val="252A2E"/>
                <w:sz w:val="15"/>
              </w:rPr>
              <w:t>11</w:t>
            </w:r>
          </w:p>
        </w:tc>
        <w:tc>
          <w:tcPr>
            <w:tcW w:type="dxa" w:w="1320"/>
            <w:vAlign w:val="top"/>
            <w:tcMar>
              <w:top w:w="80" w:type="dxa"/>
              <w:start w:w="120" w:type="dxa"/>
              <w:bottom w:w="80" w:type="dxa"/>
              <w:end w:w="120" w:type="dxa"/>
            </w:tcMar>
          </w:tcPr>
          <w:p>
            <w:pPr>
              <w:spacing w:after="40" w:line="252" w:lineRule="auto"/>
            </w:pPr>
            <w:r>
              <w:rPr>
                <w:rFonts w:ascii="Calibri" w:hAnsi="Calibri"/>
                <w:color w:val="252A2E"/>
                <w:sz w:val="15"/>
              </w:rPr>
              <w:t>November 2–6, 2026</w:t>
            </w:r>
          </w:p>
        </w:tc>
        <w:tc>
          <w:tcPr>
            <w:tcW w:type="dxa" w:w="1880"/>
            <w:vAlign w:val="top"/>
            <w:tcMar>
              <w:top w:w="80" w:type="dxa"/>
              <w:start w:w="120" w:type="dxa"/>
              <w:bottom w:w="80" w:type="dxa"/>
              <w:end w:w="120" w:type="dxa"/>
            </w:tcMar>
          </w:tcPr>
          <w:p>
            <w:pPr>
              <w:spacing w:after="40" w:line="252" w:lineRule="auto"/>
            </w:pPr>
            <w:r>
              <w:rPr>
                <w:rFonts w:ascii="Calibri" w:hAnsi="Calibri"/>
                <w:color w:val="252A2E"/>
                <w:sz w:val="15"/>
              </w:rPr>
              <w:t>Conservation, Reclamation, Extraction, and Tourism</w:t>
            </w:r>
          </w:p>
        </w:tc>
        <w:tc>
          <w:tcPr>
            <w:tcW w:type="dxa" w:w="3440"/>
            <w:vAlign w:val="top"/>
            <w:tcMar>
              <w:top w:w="80" w:type="dxa"/>
              <w:start w:w="120" w:type="dxa"/>
              <w:bottom w:w="80" w:type="dxa"/>
              <w:end w:w="120" w:type="dxa"/>
            </w:tcMar>
          </w:tcPr>
          <w:p>
            <w:pPr>
              <w:spacing w:after="40" w:line="252" w:lineRule="auto"/>
            </w:pPr>
            <w:r>
              <w:rPr>
                <w:rFonts w:ascii="Calibri" w:hAnsi="Calibri"/>
                <w:color w:val="252A2E"/>
                <w:sz w:val="15"/>
              </w:rPr>
              <w:t>11-03 Tue: National parks, tourism, and Indigenous dispossession. / 11-05 Thu: Reclamation, water, extraction, conservation, administrative power, and capstone source defenses.</w:t>
            </w:r>
          </w:p>
        </w:tc>
        <w:tc>
          <w:tcPr>
            <w:tcW w:type="dxa" w:w="2200"/>
            <w:vAlign w:val="top"/>
            <w:tcMar>
              <w:top w:w="80" w:type="dxa"/>
              <w:start w:w="120" w:type="dxa"/>
              <w:bottom w:w="80" w:type="dxa"/>
              <w:end w:w="120" w:type="dxa"/>
            </w:tcMar>
          </w:tcPr>
          <w:p>
            <w:pPr>
              <w:spacing w:after="40" w:line="252" w:lineRule="auto"/>
            </w:pPr>
            <w:r>
              <w:rPr>
                <w:rFonts w:ascii="Calibri" w:hAnsi="Calibri"/>
                <w:color w:val="252A2E"/>
                <w:sz w:val="15"/>
              </w:rPr>
              <w:t>Capstone Source Dossier and Defense; Reading &amp; Reasoning Check 9.</w:t>
            </w:r>
          </w:p>
        </w:tc>
      </w:tr>
      <w:tr>
        <w:trPr>
          <w:cantSplit w:val="true"/>
        </w:trPr>
        <w:tc>
          <w:tcPr>
            <w:tcW w:type="dxa" w:w="520"/>
            <w:vAlign w:val="center"/>
            <w:tcMar>
              <w:top w:w="80" w:type="dxa"/>
              <w:start w:w="120" w:type="dxa"/>
              <w:bottom w:w="80" w:type="dxa"/>
              <w:end w:w="120" w:type="dxa"/>
            </w:tcMar>
          </w:tcPr>
          <w:p>
            <w:pPr>
              <w:spacing w:after="40" w:line="252" w:lineRule="auto"/>
            </w:pPr>
            <w:r>
              <w:rPr>
                <w:rFonts w:ascii="Calibri" w:hAnsi="Calibri"/>
                <w:color w:val="252A2E"/>
                <w:sz w:val="15"/>
              </w:rPr>
              <w:t>12</w:t>
            </w:r>
          </w:p>
        </w:tc>
        <w:tc>
          <w:tcPr>
            <w:tcW w:type="dxa" w:w="1320"/>
            <w:vAlign w:val="top"/>
            <w:tcMar>
              <w:top w:w="80" w:type="dxa"/>
              <w:start w:w="120" w:type="dxa"/>
              <w:bottom w:w="80" w:type="dxa"/>
              <w:end w:w="120" w:type="dxa"/>
            </w:tcMar>
          </w:tcPr>
          <w:p>
            <w:pPr>
              <w:spacing w:after="40" w:line="252" w:lineRule="auto"/>
            </w:pPr>
            <w:r>
              <w:rPr>
                <w:rFonts w:ascii="Calibri" w:hAnsi="Calibri"/>
                <w:color w:val="252A2E"/>
                <w:sz w:val="15"/>
              </w:rPr>
              <w:t>November 9–13, 2026</w:t>
            </w:r>
          </w:p>
        </w:tc>
        <w:tc>
          <w:tcPr>
            <w:tcW w:type="dxa" w:w="1880"/>
            <w:vAlign w:val="top"/>
            <w:tcMar>
              <w:top w:w="80" w:type="dxa"/>
              <w:start w:w="120" w:type="dxa"/>
              <w:bottom w:w="80" w:type="dxa"/>
              <w:end w:w="120" w:type="dxa"/>
            </w:tcMar>
          </w:tcPr>
          <w:p>
            <w:pPr>
              <w:spacing w:after="40" w:line="252" w:lineRule="auto"/>
            </w:pPr>
            <w:r>
              <w:rPr>
                <w:rFonts w:ascii="Calibri" w:hAnsi="Calibri"/>
                <w:color w:val="252A2E"/>
                <w:sz w:val="15"/>
              </w:rPr>
              <w:t>Crisis and Mobilization in the West, 1920s–1945</w:t>
            </w:r>
          </w:p>
        </w:tc>
        <w:tc>
          <w:tcPr>
            <w:tcW w:type="dxa" w:w="3440"/>
            <w:vAlign w:val="top"/>
            <w:tcMar>
              <w:top w:w="80" w:type="dxa"/>
              <w:start w:w="120" w:type="dxa"/>
              <w:bottom w:w="80" w:type="dxa"/>
              <w:end w:w="120" w:type="dxa"/>
            </w:tcMar>
          </w:tcPr>
          <w:p>
            <w:pPr>
              <w:spacing w:after="40" w:line="252" w:lineRule="auto"/>
            </w:pPr>
            <w:r>
              <w:rPr>
                <w:rFonts w:ascii="Calibri" w:hAnsi="Calibri"/>
                <w:color w:val="252A2E"/>
                <w:sz w:val="15"/>
              </w:rPr>
              <w:t>11-10 Tue: Oil, Dust Bowl ecology, migration, photography, and causal explanation. / 11-12 Thu: New Deal development, wartime mobilization, incarceration, Bracero labor, and oral-history ethics.</w:t>
            </w:r>
          </w:p>
        </w:tc>
        <w:tc>
          <w:tcPr>
            <w:tcW w:type="dxa" w:w="2200"/>
            <w:vAlign w:val="top"/>
            <w:tcMar>
              <w:top w:w="80" w:type="dxa"/>
              <w:start w:w="120" w:type="dxa"/>
              <w:bottom w:w="80" w:type="dxa"/>
              <w:end w:w="120" w:type="dxa"/>
            </w:tcMar>
          </w:tcPr>
          <w:p>
            <w:pPr>
              <w:spacing w:after="40" w:line="252" w:lineRule="auto"/>
            </w:pPr>
            <w:r>
              <w:rPr>
                <w:rFonts w:ascii="Calibri" w:hAnsi="Calibri"/>
                <w:color w:val="252A2E"/>
                <w:sz w:val="15"/>
              </w:rPr>
              <w:t>Source Reasoning Lab 4 and Reading &amp; Reasoning Check 10.</w:t>
            </w:r>
          </w:p>
        </w:tc>
      </w:tr>
      <w:tr>
        <w:trPr>
          <w:cantSplit w:val="true"/>
        </w:trPr>
        <w:tc>
          <w:tcPr>
            <w:tcW w:type="dxa" w:w="520"/>
            <w:vAlign w:val="center"/>
            <w:tcMar>
              <w:top w:w="80" w:type="dxa"/>
              <w:start w:w="120" w:type="dxa"/>
              <w:bottom w:w="80" w:type="dxa"/>
              <w:end w:w="120" w:type="dxa"/>
            </w:tcMar>
          </w:tcPr>
          <w:p>
            <w:pPr>
              <w:spacing w:after="40" w:line="252" w:lineRule="auto"/>
            </w:pPr>
            <w:r>
              <w:rPr>
                <w:rFonts w:ascii="Calibri" w:hAnsi="Calibri"/>
                <w:color w:val="252A2E"/>
                <w:sz w:val="15"/>
              </w:rPr>
              <w:t>13</w:t>
            </w:r>
          </w:p>
        </w:tc>
        <w:tc>
          <w:tcPr>
            <w:tcW w:type="dxa" w:w="1320"/>
            <w:vAlign w:val="top"/>
            <w:tcMar>
              <w:top w:w="80" w:type="dxa"/>
              <w:start w:w="120" w:type="dxa"/>
              <w:bottom w:w="80" w:type="dxa"/>
              <w:end w:w="120" w:type="dxa"/>
            </w:tcMar>
          </w:tcPr>
          <w:p>
            <w:pPr>
              <w:spacing w:after="40" w:line="252" w:lineRule="auto"/>
            </w:pPr>
            <w:r>
              <w:rPr>
                <w:rFonts w:ascii="Calibri" w:hAnsi="Calibri"/>
                <w:color w:val="252A2E"/>
                <w:sz w:val="15"/>
              </w:rPr>
              <w:t>November 16–20, 2026</w:t>
            </w:r>
          </w:p>
        </w:tc>
        <w:tc>
          <w:tcPr>
            <w:tcW w:type="dxa" w:w="1880"/>
            <w:vAlign w:val="top"/>
            <w:tcMar>
              <w:top w:w="80" w:type="dxa"/>
              <w:start w:w="120" w:type="dxa"/>
              <w:bottom w:w="80" w:type="dxa"/>
              <w:end w:w="120" w:type="dxa"/>
            </w:tcMar>
          </w:tcPr>
          <w:p>
            <w:pPr>
              <w:spacing w:after="40" w:line="252" w:lineRule="auto"/>
            </w:pPr>
            <w:r>
              <w:rPr>
                <w:rFonts w:ascii="Calibri" w:hAnsi="Calibri"/>
                <w:color w:val="252A2E"/>
                <w:sz w:val="15"/>
              </w:rPr>
              <w:t>The Postwar West: Suburbs, Water, Nuclear Landscapes, and Red Power</w:t>
            </w:r>
          </w:p>
        </w:tc>
        <w:tc>
          <w:tcPr>
            <w:tcW w:type="dxa" w:w="3440"/>
            <w:vAlign w:val="top"/>
            <w:tcMar>
              <w:top w:w="80" w:type="dxa"/>
              <w:start w:w="120" w:type="dxa"/>
              <w:bottom w:w="80" w:type="dxa"/>
              <w:end w:w="120" w:type="dxa"/>
            </w:tcMar>
          </w:tcPr>
          <w:p>
            <w:pPr>
              <w:spacing w:after="40" w:line="252" w:lineRule="auto"/>
            </w:pPr>
            <w:r>
              <w:rPr>
                <w:rFonts w:ascii="Calibri" w:hAnsi="Calibri"/>
                <w:color w:val="252A2E"/>
                <w:sz w:val="15"/>
              </w:rPr>
              <w:t>11-17 Tue: Suburbanization, Sunbelt growth, federal investment, and unequal benefits. / 11-19 Thu: Dams, water, nuclear landscapes, termination, Red Power, and capstone consultation.</w:t>
            </w:r>
          </w:p>
        </w:tc>
        <w:tc>
          <w:tcPr>
            <w:tcW w:type="dxa" w:w="2200"/>
            <w:vAlign w:val="top"/>
            <w:tcMar>
              <w:top w:w="80" w:type="dxa"/>
              <w:start w:w="120" w:type="dxa"/>
              <w:bottom w:w="80" w:type="dxa"/>
              <w:end w:w="120" w:type="dxa"/>
            </w:tcMar>
          </w:tcPr>
          <w:p>
            <w:pPr>
              <w:spacing w:after="40" w:line="252" w:lineRule="auto"/>
            </w:pPr>
            <w:r>
              <w:rPr>
                <w:rFonts w:ascii="Calibri" w:hAnsi="Calibri"/>
                <w:color w:val="252A2E"/>
                <w:sz w:val="15"/>
              </w:rPr>
              <w:t>Capstone Interpretive Artifact and Decision Log due Friday, November 20.</w:t>
            </w:r>
          </w:p>
        </w:tc>
      </w:tr>
      <w:tr>
        <w:trPr>
          <w:cantSplit w:val="true"/>
        </w:trPr>
        <w:tc>
          <w:tcPr>
            <w:tcW w:type="dxa" w:w="520"/>
            <w:vAlign w:val="center"/>
            <w:tcMar>
              <w:top w:w="80" w:type="dxa"/>
              <w:start w:w="120" w:type="dxa"/>
              <w:bottom w:w="80" w:type="dxa"/>
              <w:end w:w="120" w:type="dxa"/>
            </w:tcMar>
          </w:tcPr>
          <w:p>
            <w:pPr>
              <w:spacing w:after="40" w:line="252" w:lineRule="auto"/>
            </w:pPr>
            <w:r>
              <w:rPr>
                <w:rFonts w:ascii="Calibri" w:hAnsi="Calibri"/>
                <w:color w:val="252A2E"/>
                <w:sz w:val="15"/>
              </w:rPr>
              <w:t>14</w:t>
            </w:r>
          </w:p>
        </w:tc>
        <w:tc>
          <w:tcPr>
            <w:tcW w:type="dxa" w:w="1320"/>
            <w:vAlign w:val="top"/>
            <w:tcMar>
              <w:top w:w="80" w:type="dxa"/>
              <w:start w:w="120" w:type="dxa"/>
              <w:bottom w:w="80" w:type="dxa"/>
              <w:end w:w="120" w:type="dxa"/>
            </w:tcMar>
          </w:tcPr>
          <w:p>
            <w:pPr>
              <w:spacing w:after="40" w:line="252" w:lineRule="auto"/>
            </w:pPr>
            <w:r>
              <w:rPr>
                <w:rFonts w:ascii="Calibri" w:hAnsi="Calibri"/>
                <w:color w:val="252A2E"/>
                <w:sz w:val="15"/>
              </w:rPr>
              <w:t>November 23–27, 2026</w:t>
            </w:r>
          </w:p>
        </w:tc>
        <w:tc>
          <w:tcPr>
            <w:tcW w:type="dxa" w:w="1880"/>
            <w:vAlign w:val="top"/>
            <w:tcMar>
              <w:top w:w="80" w:type="dxa"/>
              <w:start w:w="120" w:type="dxa"/>
              <w:bottom w:w="80" w:type="dxa"/>
              <w:end w:w="120" w:type="dxa"/>
            </w:tcMar>
          </w:tcPr>
          <w:p>
            <w:pPr>
              <w:spacing w:after="40" w:line="252" w:lineRule="auto"/>
            </w:pPr>
            <w:r>
              <w:rPr>
                <w:rFonts w:ascii="Calibri" w:hAnsi="Calibri"/>
                <w:color w:val="252A2E"/>
                <w:sz w:val="15"/>
              </w:rPr>
              <w:t>Thanksgiving Break — No Campus Classes</w:t>
            </w:r>
          </w:p>
        </w:tc>
        <w:tc>
          <w:tcPr>
            <w:tcW w:type="dxa" w:w="3440"/>
            <w:vAlign w:val="top"/>
            <w:tcMar>
              <w:top w:w="80" w:type="dxa"/>
              <w:start w:w="120" w:type="dxa"/>
              <w:bottom w:w="80" w:type="dxa"/>
              <w:end w:w="120" w:type="dxa"/>
            </w:tcMar>
          </w:tcPr>
          <w:p>
            <w:pPr>
              <w:spacing w:after="40" w:line="252" w:lineRule="auto"/>
            </w:pPr>
            <w:r>
              <w:rPr>
                <w:rFonts w:ascii="Calibri" w:hAnsi="Calibri"/>
                <w:color w:val="252A2E"/>
                <w:sz w:val="15"/>
              </w:rPr>
              <w:t>11-24 Tue: Thanksgiving Break — no campus classes. / 11-26 Thu: Thanksgiving Break — no campus classes.</w:t>
            </w:r>
          </w:p>
        </w:tc>
        <w:tc>
          <w:tcPr>
            <w:tcW w:type="dxa" w:w="2200"/>
            <w:vAlign w:val="top"/>
            <w:tcMar>
              <w:top w:w="80" w:type="dxa"/>
              <w:start w:w="120" w:type="dxa"/>
              <w:bottom w:w="80" w:type="dxa"/>
              <w:end w:w="120" w:type="dxa"/>
            </w:tcMar>
          </w:tcPr>
          <w:p>
            <w:pPr>
              <w:spacing w:after="40" w:line="252" w:lineRule="auto"/>
            </w:pPr>
            <w:r>
              <w:rPr>
                <w:rFonts w:ascii="Calibri" w:hAnsi="Calibri"/>
                <w:color w:val="252A2E"/>
                <w:sz w:val="15"/>
              </w:rPr>
              <w:t>None; Thanksgiving Break.</w:t>
            </w:r>
          </w:p>
        </w:tc>
      </w:tr>
      <w:tr>
        <w:trPr>
          <w:cantSplit w:val="true"/>
        </w:trPr>
        <w:tc>
          <w:tcPr>
            <w:tcW w:type="dxa" w:w="520"/>
            <w:vAlign w:val="center"/>
            <w:tcMar>
              <w:top w:w="80" w:type="dxa"/>
              <w:start w:w="120" w:type="dxa"/>
              <w:bottom w:w="80" w:type="dxa"/>
              <w:end w:w="120" w:type="dxa"/>
            </w:tcMar>
          </w:tcPr>
          <w:p>
            <w:pPr>
              <w:spacing w:after="40" w:line="252" w:lineRule="auto"/>
            </w:pPr>
            <w:r>
              <w:rPr>
                <w:rFonts w:ascii="Calibri" w:hAnsi="Calibri"/>
                <w:color w:val="252A2E"/>
                <w:sz w:val="15"/>
              </w:rPr>
              <w:t>15</w:t>
            </w:r>
          </w:p>
        </w:tc>
        <w:tc>
          <w:tcPr>
            <w:tcW w:type="dxa" w:w="1320"/>
            <w:vAlign w:val="top"/>
            <w:tcMar>
              <w:top w:w="80" w:type="dxa"/>
              <w:start w:w="120" w:type="dxa"/>
              <w:bottom w:w="80" w:type="dxa"/>
              <w:end w:w="120" w:type="dxa"/>
            </w:tcMar>
          </w:tcPr>
          <w:p>
            <w:pPr>
              <w:spacing w:after="40" w:line="252" w:lineRule="auto"/>
            </w:pPr>
            <w:r>
              <w:rPr>
                <w:rFonts w:ascii="Calibri" w:hAnsi="Calibri"/>
                <w:color w:val="252A2E"/>
                <w:sz w:val="15"/>
              </w:rPr>
              <w:t>November 30–December 4, 2026</w:t>
            </w:r>
          </w:p>
        </w:tc>
        <w:tc>
          <w:tcPr>
            <w:tcW w:type="dxa" w:w="1880"/>
            <w:vAlign w:val="top"/>
            <w:tcMar>
              <w:top w:w="80" w:type="dxa"/>
              <w:start w:w="120" w:type="dxa"/>
              <w:bottom w:w="80" w:type="dxa"/>
              <w:end w:w="120" w:type="dxa"/>
            </w:tcMar>
          </w:tcPr>
          <w:p>
            <w:pPr>
              <w:spacing w:after="40" w:line="252" w:lineRule="auto"/>
            </w:pPr>
            <w:r>
              <w:rPr>
                <w:rFonts w:ascii="Calibri" w:hAnsi="Calibri"/>
                <w:color w:val="252A2E"/>
                <w:sz w:val="15"/>
              </w:rPr>
              <w:t>The Contemporary West and the Politics of Memory</w:t>
            </w:r>
          </w:p>
        </w:tc>
        <w:tc>
          <w:tcPr>
            <w:tcW w:type="dxa" w:w="3440"/>
            <w:vAlign w:val="top"/>
            <w:tcMar>
              <w:top w:w="80" w:type="dxa"/>
              <w:start w:w="120" w:type="dxa"/>
              <w:bottom w:w="80" w:type="dxa"/>
              <w:end w:w="120" w:type="dxa"/>
            </w:tcMar>
          </w:tcPr>
          <w:p>
            <w:pPr>
              <w:spacing w:after="40" w:line="252" w:lineRule="auto"/>
            </w:pPr>
            <w:r>
              <w:rPr>
                <w:rFonts w:ascii="Calibri" w:hAnsi="Calibri"/>
                <w:color w:val="252A2E"/>
                <w:sz w:val="15"/>
              </w:rPr>
              <w:t>12-01 Tue: Contemporary sovereignty, migration, water, climate, extraction, and capstone showcase/defenses. / 12-03 Thu: Politics of memory; capstone showcase/defenses; redraw the Week 1 map and synthesize the course.</w:t>
            </w:r>
          </w:p>
        </w:tc>
        <w:tc>
          <w:tcPr>
            <w:tcW w:type="dxa" w:w="2200"/>
            <w:vAlign w:val="top"/>
            <w:tcMar>
              <w:top w:w="80" w:type="dxa"/>
              <w:start w:w="120" w:type="dxa"/>
              <w:bottom w:w="80" w:type="dxa"/>
              <w:end w:w="120" w:type="dxa"/>
            </w:tcMar>
          </w:tcPr>
          <w:p>
            <w:pPr>
              <w:spacing w:after="40" w:line="252" w:lineRule="auto"/>
            </w:pPr>
            <w:r>
              <w:rPr>
                <w:rFonts w:ascii="Calibri" w:hAnsi="Calibri"/>
                <w:color w:val="252A2E"/>
                <w:sz w:val="15"/>
              </w:rPr>
              <w:t>Capstone showcases/defenses in class; final materials and Seminar Practice Portfolio due Friday, December 4.</w:t>
            </w:r>
          </w:p>
        </w:tc>
      </w:tr>
    </w:tbl>
    <w:p>
      <w:pPr>
        <w:spacing w:after="40"/>
      </w:pPr>
    </w:p>
    <w:p>
      <w:pPr>
        <w:pStyle w:val="Heading1"/>
      </w:pPr>
      <w:r>
        <w:t>Course practices and support</w:t>
      </w:r>
    </w:p>
    <w:p>
      <w:pPr>
        <w:pStyle w:val="ListBullet"/>
        <w:spacing w:after="80" w:line="300" w:lineRule="auto"/>
        <w:ind w:left="540" w:hanging="271"/>
      </w:pPr>
      <w:r>
        <w:rPr>
          <w:rFonts w:ascii="Calibri" w:hAnsi="Calibri"/>
          <w:color w:val="252A2E"/>
          <w:sz w:val="22"/>
        </w:rPr>
        <w:t>Use Chicago Notes-Bibliography unless the instructor approves another historical citation system.</w:t>
      </w:r>
    </w:p>
    <w:p>
      <w:pPr>
        <w:pStyle w:val="ListBullet"/>
        <w:spacing w:after="80" w:line="300" w:lineRule="auto"/>
        <w:ind w:left="540" w:hanging="271"/>
      </w:pPr>
      <w:r>
        <w:rPr>
          <w:rFonts w:ascii="Calibri" w:hAnsi="Calibri"/>
          <w:color w:val="252A2E"/>
          <w:sz w:val="22"/>
        </w:rPr>
        <w:t>Quote racist, violent, or dehumanizing historical language only when analysis requires it and always contextualize it.</w:t>
      </w:r>
    </w:p>
    <w:p>
      <w:pPr>
        <w:pStyle w:val="ListBullet"/>
        <w:spacing w:after="80" w:line="300" w:lineRule="auto"/>
        <w:ind w:left="540" w:hanging="271"/>
      </w:pPr>
      <w:r>
        <w:rPr>
          <w:rFonts w:ascii="Calibri" w:hAnsi="Calibri"/>
          <w:color w:val="252A2E"/>
          <w:sz w:val="22"/>
        </w:rPr>
        <w:t>Audio/video work requires captions or a transcript; public artifacts require image descriptions or alt text and an accessible backup format.</w:t>
      </w:r>
    </w:p>
    <w:p>
      <w:pPr>
        <w:pStyle w:val="ListBullet"/>
        <w:spacing w:after="80" w:line="300" w:lineRule="auto"/>
        <w:ind w:left="540" w:hanging="271"/>
      </w:pPr>
      <w:r>
        <w:rPr>
          <w:rFonts w:ascii="Calibri" w:hAnsi="Calibri"/>
          <w:color w:val="252A2E"/>
          <w:sz w:val="22"/>
        </w:rPr>
        <w:t>Contact the instructor promptly when a format or activity creates an access barrier. A format-equivalent pathway is available when the original mode is not essential to the learning outcome.</w:t>
      </w:r>
    </w:p>
    <w:p>
      <w:pPr>
        <w:pStyle w:val="ListBullet"/>
        <w:spacing w:after="80" w:line="300" w:lineRule="auto"/>
        <w:ind w:left="540" w:hanging="271"/>
      </w:pPr>
      <w:r>
        <w:rPr>
          <w:rFonts w:ascii="Calibri" w:hAnsi="Calibri"/>
          <w:color w:val="252A2E"/>
          <w:sz w:val="22"/>
        </w:rPr>
        <w:t>Canvas announcements govern room changes, weather adjustments, and authorized deadline changes.</w:t>
      </w:r>
    </w:p>
    <w:p>
      <w:r>
        <w:t>Official starting points: Northwest Missouri State University Academic Integrity policy and Accessibility and Accommodations resources. Current institutional language and support links in Canvas are authoritative.</w:t>
      </w:r>
    </w:p>
    <w:sectPr w:rsidR="00FC693F" w:rsidRPr="0006063C" w:rsidSect="00034616">
      <w:headerReference w:type="default" r:id="rId9"/>
      <w:footerReference w:type="default" r:id="rId10"/>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Calibri" w:hAnsi="Calibri"/>
        <w:color w:val="5F6870"/>
        <w:sz w:val="17"/>
      </w:rPr>
      <w:t xml:space="preserve">Page </w:t>
    </w:r>
    <w:fldSimple w:instr="PAGE"/>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left"/>
    </w:pPr>
    <w:r>
      <w:rPr>
        <w:rFonts w:ascii="Calibri" w:hAnsi="Calibri"/>
        <w:b/>
        <w:color w:val="5F6870"/>
        <w:sz w:val="17"/>
      </w:rPr>
      <w:t>33-582  |  THE AMERICAN WEST  |  FALL 2026</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abstractNum w:abstractNumId="9">
    <w:multiLevelType w:val="singleLevel"/>
    <w:lvl w:ilvl="0">
      <w:start w:val="1"/>
      <w:numFmt w:val="decimal"/>
      <w:lvlText w:val="%1."/>
      <w:suff w:val="tab"/>
      <w:pPr>
        <w:tabs>
          <w:tab w:val="num" w:pos="540"/>
        </w:tabs>
        <w:ind w:left="540" w:hanging="270"/>
      </w:pPr>
    </w:lvl>
  </w:abstractNum>
  <w:num w:numId="10">
    <w:abstractNumId w:val="9"/>
  </w:num>
  <w:abstractNum w:abstractNumId="10">
    <w:multiLevelType w:val="singleLevel"/>
    <w:lvl w:ilvl="0">
      <w:start w:val="1"/>
      <w:numFmt w:val="decimal"/>
      <w:lvlText w:val="%1."/>
      <w:suff w:val="tab"/>
      <w:pPr>
        <w:tabs>
          <w:tab w:val="num" w:pos="540"/>
        </w:tabs>
        <w:ind w:left="540" w:hanging="270"/>
      </w:pPr>
    </w:lvl>
  </w:abstract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120" w:line="300" w:lineRule="auto"/>
    </w:pPr>
    <w:rPr>
      <w:rFonts w:ascii="Calibri" w:hAnsi="Calibri"/>
      <w:color w:val="252A2E"/>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200"/>
      <w:outlineLvl w:val="0"/>
    </w:pPr>
    <w:rPr>
      <w:rFonts w:asciiTheme="majorHAnsi" w:eastAsiaTheme="majorEastAsia" w:hAnsiTheme="majorHAnsi" w:cstheme="majorBidi" w:ascii="Calibri" w:hAnsi="Calibri"/>
      <w:b/>
      <w:bCs/>
      <w:color w:val="2E74B5"/>
      <w:sz w:val="32"/>
      <w:szCs w:val="28"/>
    </w:rPr>
  </w:style>
  <w:style w:type="paragraph" w:styleId="Heading2">
    <w:name w:val="heading 2"/>
    <w:basedOn w:val="Normal"/>
    <w:next w:val="Normal"/>
    <w:link w:val="Heading2Char"/>
    <w:uiPriority w:val="9"/>
    <w:unhideWhenUsed/>
    <w:qFormat/>
    <w:rsid w:val="00FC693F"/>
    <w:pPr>
      <w:keepNext/>
      <w:keepLines/>
      <w:spacing w:before="280" w:after="140"/>
      <w:outlineLvl w:val="1"/>
    </w:pPr>
    <w:rPr>
      <w:rFonts w:asciiTheme="majorHAnsi" w:eastAsiaTheme="majorEastAsia" w:hAnsiTheme="majorHAnsi" w:cstheme="majorBidi" w:ascii="Calibri" w:hAnsi="Calibri"/>
      <w:b/>
      <w:bCs/>
      <w:color w:val="2E74B5"/>
      <w:sz w:val="26"/>
      <w:szCs w:val="26"/>
    </w:rPr>
  </w:style>
  <w:style w:type="paragraph" w:styleId="Heading3">
    <w:name w:val="heading 3"/>
    <w:basedOn w:val="Normal"/>
    <w:next w:val="Normal"/>
    <w:link w:val="Heading3Char"/>
    <w:uiPriority w:val="9"/>
    <w:unhideWhenUsed/>
    <w:qFormat/>
    <w:rsid w:val="00FC693F"/>
    <w:pPr>
      <w:keepNext/>
      <w:keepLines/>
      <w:spacing w:before="200" w:after="100"/>
      <w:outlineLvl w:val="2"/>
    </w:pPr>
    <w:rPr>
      <w:rFonts w:asciiTheme="majorHAnsi" w:eastAsiaTheme="majorEastAsia" w:hAnsiTheme="majorHAnsi" w:cstheme="majorBidi" w:ascii="Calibri" w:hAnsi="Calibri"/>
      <w:b/>
      <w:bCs/>
      <w:color w:val="1F4D78"/>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33-582 The American West: Power, Place, and Memory - Fall 2026 Student Syllabus</dc:title>
  <dc:subject>Student syllabus and course calendar</dc:subject>
  <dc:creator>Rob Voss</dc:creator>
  <cp:keywords/>
  <dc:description>generated by python-docx</dc:description>
  <cp:lastModifiedBy/>
  <cp:revision>1</cp:revision>
  <dcterms:created xsi:type="dcterms:W3CDTF">2013-12-23T23:15:00Z</dcterms:created>
  <dcterms:modified xsi:type="dcterms:W3CDTF">2013-12-23T23:15:00Z</dcterms:modified>
  <cp:category/>
</cp:coreProperties>
</file>